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1789" w:rsidP="0E130763" w:rsidRDefault="00E21789" w14:paraId="3776C884" w14:textId="77777777">
      <w:pPr>
        <w:spacing w:after="80" w:before="0" w:line="240" w:lineRule="auto"/>
        <w:rPr>
          <w:rFonts w:ascii="Trebuchet MS" w:hAnsi="Trebuchet MS" w:cs="Trebuchet MS"/>
          <w:b/>
          <w:bCs/>
          <w:sz w:val="20"/>
          <w:szCs w:val="20"/>
          <w:lang w:eastAsia="zh-CN"/>
        </w:rPr>
      </w:pPr>
    </w:p>
    <w:p w:rsidR="00FC753D" w:rsidP="6D22AA2D" w:rsidRDefault="00AA480B" w14:paraId="30208E3E" w14:textId="1735AD8C">
      <w:pPr>
        <w:spacing w:after="80" w:before="0" w:line="240" w:lineRule="auto"/>
        <w:rPr>
          <w:rFonts w:ascii="Trebuchet MS" w:hAnsi="Trebuchet MS" w:eastAsia="Trebuchet MS" w:cs="Trebuchet MS"/>
          <w:b w:val="1"/>
          <w:bCs w:val="1"/>
          <w:sz w:val="20"/>
          <w:szCs w:val="20"/>
        </w:rPr>
      </w:pPr>
      <w:r>
        <w:rPr>
          <w:rFonts w:ascii="Trebuchet MS" w:hAnsi="Trebuchet MS"/>
          <w:b/>
          <w:i w:val="0"/>
          <w:sz w:val="32"/>
        </w:rPr>
        <w:t>Framework-Decoupled MoE Load Balancing for High-Performance LLM Inference</w:t>
      </w:r>
    </w:p>
    <w:p w:rsidR="00FC753D" w:rsidRDefault="00FC753D" w14:paraId="30208E3F" w14:textId="77777777">
      <w:pPr>
        <w:pBdr>
          <w:top w:val="nil"/>
          <w:left w:val="nil"/>
          <w:bottom w:val="nil"/>
          <w:right w:val="nil"/>
          <w:between w:val="nil"/>
        </w:pBdr>
        <w:spacing w:after="80" w:before="0" w:line="240" w:lineRule="auto"/>
        <w:rPr>
          <w:rFonts w:ascii="Trebuchet MS" w:hAnsi="Trebuchet MS" w:eastAsia="Trebuchet MS" w:cs="Trebuchet MS"/>
          <w:color w:val="000000"/>
          <w:sz w:val="18"/>
          <w:szCs w:val="18"/>
        </w:rPr>
      </w:pPr>
    </w:p>
    <w:p w:rsidR="00FC753D" w:rsidRDefault="00FC753D" w14:paraId="30208E41" w14:textId="77777777">
      <w:pPr>
        <w:spacing w:after="80" w:before="0" w:line="240" w:lineRule="auto"/>
        <w:rPr>
          <w:rFonts w:ascii="Trebuchet MS" w:hAnsi="Trebuchet MS" w:eastAsia="Trebuchet MS" w:cs="Trebuchet MS"/>
          <w:sz w:val="18"/>
          <w:szCs w:val="18"/>
        </w:rPr>
      </w:pPr>
    </w:p>
    <w:p w:rsidR="00C64161" w:rsidRDefault="00A03FD1" w14:paraId="7418FE91" w14:textId="77777777">
      <w:pPr>
        <w:spacing w:after="80" w:before="0" w:line="240" w:lineRule="auto"/>
        <w:rPr>
          <w:rFonts w:ascii="Trebuchet MS" w:hAnsi="Trebuchet MS" w:eastAsia="Trebuchet MS" w:cs="Trebuchet MS"/>
          <w:b/>
          <w:sz w:val="18"/>
          <w:szCs w:val="18"/>
        </w:rPr>
      </w:pPr>
      <w:r>
        <w:rPr>
          <w:rFonts w:ascii="Trebuchet MS" w:hAnsi="Trebuchet MS" w:eastAsia="Trebuchet MS" w:cs="Trebuchet MS"/>
          <w:b/>
          <w:i w:val="0"/>
          <w:sz w:val="20"/>
          <w:szCs w:val="18"/>
        </w:rPr>
        <w:t>Problem statement:</w:t>
      </w:r>
    </w:p>
    <w:p w:rsidRPr="00071C5E" w:rsidR="00071C5E" w:rsidP="00071C5E" w:rsidRDefault="00071C5E" w14:paraId="5E1B953D" w14:textId="5FD7FBE7">
      <w:pPr>
        <w:pBdr>
          <w:top w:val="nil"/>
          <w:left w:val="nil"/>
          <w:bottom w:val="nil"/>
          <w:right w:val="nil"/>
          <w:between w:val="nil"/>
        </w:pBdr>
        <w:tabs>
          <w:tab w:val="left" w:pos="2175"/>
        </w:tabs>
        <w:spacing w:after="80" w:before="0" w:line="240" w:lineRule="auto"/>
        <w:rPr>
          <w:rFonts w:ascii="Trebuchet MS" w:hAnsi="Trebuchet MS" w:eastAsia="Trebuchet MS" w:cs="Trebuchet MS"/>
          <w:i/>
          <w:iCs/>
          <w:color w:val="000000"/>
          <w:sz w:val="18"/>
          <w:szCs w:val="18"/>
        </w:rPr>
      </w:pPr>
      <w:r>
        <w:rPr>
          <w:rFonts w:ascii="Trebuchet MS" w:hAnsi="Trebuchet MS"/>
          <w:i w:val="0"/>
          <w:sz w:val="18"/>
        </w:rPr>
        <w:t>MoE inference performance is limited by expert-parallel load imbalance. Static expert placement helps, but live batches can still overload a subset of EP ranks, shared-expert work can remain poorly distributed, and replicated routed experts need per-batch routing decisions. At the same time, each new load-balancing idea is usually integrated separately into SGLang, vLLM, TensorRT-LLM, or other runtimes, creating duplicated engineering work and slowing product adoption.</w:t>
      </w:r>
    </w:p>
    <w:p w:rsidRPr="00C64161" w:rsidR="00071C5E" w:rsidRDefault="00071C5E" w14:paraId="3B2A3AB9" w14:textId="77777777">
      <w:pPr>
        <w:spacing w:after="80" w:before="0" w:line="240" w:lineRule="auto"/>
        <w:rPr>
          <w:rFonts w:ascii="Trebuchet MS" w:hAnsi="Trebuchet MS" w:eastAsia="Trebuchet MS" w:cs="Trebuchet MS"/>
          <w:bCs/>
          <w:sz w:val="18"/>
          <w:szCs w:val="18"/>
        </w:rPr>
      </w:pPr>
    </w:p>
    <w:p w:rsidR="00FC753D" w:rsidRDefault="00A03FD1" w14:paraId="30208E45" w14:textId="29CD6087">
      <w:pPr>
        <w:spacing w:after="80" w:before="0" w:line="240" w:lineRule="auto"/>
        <w:rPr>
          <w:rFonts w:ascii="Trebuchet MS" w:hAnsi="Trebuchet MS" w:eastAsia="Trebuchet MS" w:cs="Trebuchet MS"/>
          <w:b/>
          <w:sz w:val="18"/>
          <w:szCs w:val="18"/>
        </w:rPr>
      </w:pPr>
      <w:r>
        <w:rPr>
          <w:rFonts w:ascii="Trebuchet MS" w:hAnsi="Trebuchet MS" w:eastAsia="Trebuchet MS" w:cs="Trebuchet MS"/>
          <w:b/>
          <w:i w:val="0"/>
          <w:sz w:val="20"/>
          <w:szCs w:val="18"/>
        </w:rPr>
        <w:t xml:space="preserve">Importance: </w:t>
      </w:r>
    </w:p>
    <w:p w:rsidRPr="00D11135" w:rsidR="00C64161" w:rsidP="5A472047" w:rsidRDefault="00D11135" w14:paraId="46FCF688" w14:textId="5EF8CE6A">
      <w:pPr>
        <w:spacing w:after="80" w:before="0" w:line="240" w:lineRule="auto"/>
        <w:rPr>
          <w:rFonts w:ascii="Trebuchet MS" w:hAnsi="Trebuchet MS" w:eastAsia="Trebuchet MS" w:cs="Trebuchet MS"/>
          <w:i/>
          <w:iCs/>
          <w:sz w:val="18"/>
          <w:szCs w:val="18"/>
        </w:rPr>
      </w:pPr>
      <w:r>
        <w:rPr>
          <w:rFonts w:ascii="Trebuchet MS" w:hAnsi="Trebuchet MS"/>
          <w:i w:val="0"/>
          <w:sz w:val="18"/>
        </w:rPr>
        <w:t>Large MoE models are becoming central to high-throughput LLM serving. A portable MoE load balancer can improve NVIDIA GPU utilization, reduce serving cost, and make new MoE algorithms easier to productize across inference frameworks. The work also creates a common path from research prototypes to production stacks such as SGLang, vLLM, and TensorRT-LLM, reducing the N algorithms x M frameworks integration cost.</w:t>
      </w:r>
    </w:p>
    <w:p w:rsidRPr="00C64161" w:rsidR="00D11135" w:rsidRDefault="00D11135" w14:paraId="02F1B583" w14:textId="77777777">
      <w:pPr>
        <w:spacing w:after="80" w:before="0" w:line="240" w:lineRule="auto"/>
        <w:rPr>
          <w:rFonts w:ascii="Trebuchet MS" w:hAnsi="Trebuchet MS" w:eastAsia="Trebuchet MS" w:cs="Trebuchet MS"/>
          <w:bCs/>
          <w:sz w:val="18"/>
          <w:szCs w:val="18"/>
        </w:rPr>
      </w:pPr>
    </w:p>
    <w:p w:rsidR="00FC753D" w:rsidRDefault="00A03FD1" w14:paraId="30208E47" w14:textId="2A748B45">
      <w:pPr>
        <w:spacing w:after="80" w:before="0" w:line="240" w:lineRule="auto"/>
        <w:rPr>
          <w:rFonts w:ascii="Trebuchet MS" w:hAnsi="Trebuchet MS" w:eastAsia="Trebuchet MS" w:cs="Trebuchet MS"/>
          <w:b/>
          <w:sz w:val="18"/>
          <w:szCs w:val="18"/>
        </w:rPr>
      </w:pPr>
      <w:r>
        <w:rPr>
          <w:rFonts w:ascii="Trebuchet MS" w:hAnsi="Trebuchet MS" w:eastAsia="Trebuchet MS" w:cs="Trebuchet MS"/>
          <w:b/>
          <w:i w:val="0"/>
          <w:sz w:val="20"/>
          <w:szCs w:val="18"/>
        </w:rPr>
        <w:t xml:space="preserve">Prior work: </w:t>
      </w:r>
    </w:p>
    <w:p w:rsidRPr="00E40766" w:rsidR="00C64161" w:rsidRDefault="00E40766" w14:paraId="540FABEF" w14:textId="264AED24">
      <w:pPr>
        <w:spacing w:after="80" w:before="0" w:line="240" w:lineRule="auto"/>
        <w:rPr>
          <w:rFonts w:ascii="Trebuchet MS" w:hAnsi="Trebuchet MS" w:eastAsia="Trebuchet MS" w:cs="Trebuchet MS"/>
          <w:bCs/>
          <w:i/>
          <w:iCs/>
          <w:sz w:val="18"/>
          <w:szCs w:val="18"/>
        </w:rPr>
      </w:pPr>
      <w:r>
        <w:rPr>
          <w:rFonts w:ascii="Trebuchet MS" w:hAnsi="Trebuchet MS"/>
          <w:i w:val="0"/>
          <w:sz w:val="18"/>
        </w:rPr>
        <w:t>The design builds on DeepSeek EPLB/LPLB, SGLang DeepEP and Waterfill work, vLLM EPLB support, TensorRT-LLM Wide-EP/online EPLB, and recent research such as topology-aware EPLB, CRAFT, MoETuner, Metro, Libra, and PROBE. These systems demonstrate strong individual techniques, but their implementations are tied to specific runtime APIs. This submission focuses on turning those ideas into a framework-neutral load-balancing layer with thin runtime adapters.</w:t>
      </w:r>
    </w:p>
    <w:p w:rsidRPr="00C64161" w:rsidR="00E40766" w:rsidRDefault="00E40766" w14:paraId="29CFD293" w14:textId="77777777">
      <w:pPr>
        <w:spacing w:after="80" w:before="0" w:line="240" w:lineRule="auto"/>
        <w:rPr>
          <w:rFonts w:ascii="Trebuchet MS" w:hAnsi="Trebuchet MS" w:eastAsia="Trebuchet MS" w:cs="Trebuchet MS"/>
          <w:bCs/>
          <w:sz w:val="18"/>
          <w:szCs w:val="18"/>
        </w:rPr>
      </w:pPr>
    </w:p>
    <w:p w:rsidR="00FC753D" w:rsidRDefault="00A03FD1" w14:paraId="30208E49" w14:textId="629CAC8C">
      <w:pPr>
        <w:spacing w:after="80" w:before="0" w:line="240" w:lineRule="auto"/>
        <w:rPr>
          <w:rFonts w:ascii="Trebuchet MS" w:hAnsi="Trebuchet MS" w:eastAsia="Trebuchet MS" w:cs="Trebuchet MS"/>
          <w:b/>
          <w:sz w:val="18"/>
          <w:szCs w:val="18"/>
        </w:rPr>
      </w:pPr>
      <w:r>
        <w:rPr>
          <w:rFonts w:ascii="Trebuchet MS" w:hAnsi="Trebuchet MS" w:eastAsia="Trebuchet MS" w:cs="Trebuchet MS"/>
          <w:b/>
          <w:i w:val="0"/>
          <w:sz w:val="20"/>
          <w:szCs w:val="18"/>
        </w:rPr>
        <w:t xml:space="preserve">Technical solution: </w:t>
      </w:r>
    </w:p>
    <w:p w:rsidRPr="00BA15D7" w:rsidR="00C64161" w:rsidRDefault="00BA15D7" w14:paraId="2F9454BF" w14:textId="5D0699B9">
      <w:pPr>
        <w:spacing w:after="80" w:before="0" w:line="240" w:lineRule="auto"/>
        <w:rPr>
          <w:rFonts w:ascii="Trebuchet MS" w:hAnsi="Trebuchet MS" w:eastAsia="Trebuchet MS" w:cs="Trebuchet MS"/>
          <w:bCs/>
          <w:i/>
          <w:iCs/>
          <w:sz w:val="18"/>
          <w:szCs w:val="18"/>
        </w:rPr>
      </w:pPr>
      <w:r>
        <w:rPr>
          <w:rFonts w:ascii="Trebuchet MS" w:hAnsi="Trebuchet MS"/>
          <w:i w:val="0"/>
          <w:sz w:val="18"/>
        </w:rPr>
        <w:t>We define a framework-decoupled MoE load balancer with three orthogonal layers. L1 performs static expert placement and replica layout planning. L2 performs per-batch token routing while preserving the router top-k and only changing physical execution choices. L3 reserves a future surface for prediction-driven expert prefetch or runtime migration. The core API uses framework-neutral contracts such as PlacementProvider.snapshot, PlacementPlanner.plan, and TokenRouter.route_tokens, while adapters translate to SGLang, vLLM, or TensorRT-LLM-specific data structures. The SGLang POC integrates L1 EPLB, Waterfill, and LPLB, and validates the adapter boundary end to end.</w:t>
      </w:r>
    </w:p>
    <w:p w:rsidRPr="00C64161" w:rsidR="00BA15D7" w:rsidRDefault="00BA15D7" w14:paraId="32AAD1FA" w14:textId="77777777">
      <w:pPr>
        <w:spacing w:after="80" w:before="0" w:line="240" w:lineRule="auto"/>
        <w:rPr>
          <w:rFonts w:ascii="Trebuchet MS" w:hAnsi="Trebuchet MS" w:eastAsia="Trebuchet MS" w:cs="Trebuchet MS"/>
          <w:bCs/>
          <w:sz w:val="18"/>
          <w:szCs w:val="18"/>
        </w:rPr>
      </w:pPr>
    </w:p>
    <w:p w:rsidR="00FC753D" w:rsidRDefault="00A03FD1" w14:paraId="30208E4B" w14:textId="42AFA3C3">
      <w:pPr>
        <w:spacing w:after="80" w:before="0" w:line="240" w:lineRule="auto"/>
        <w:rPr>
          <w:rFonts w:ascii="Trebuchet MS" w:hAnsi="Trebuchet MS" w:eastAsia="Trebuchet MS" w:cs="Trebuchet MS"/>
          <w:b/>
          <w:sz w:val="18"/>
          <w:szCs w:val="18"/>
        </w:rPr>
      </w:pPr>
      <w:r>
        <w:rPr>
          <w:rFonts w:ascii="Trebuchet MS" w:hAnsi="Trebuchet MS" w:eastAsia="Trebuchet MS" w:cs="Trebuchet MS"/>
          <w:b/>
          <w:i w:val="0"/>
          <w:sz w:val="20"/>
          <w:szCs w:val="18"/>
        </w:rPr>
        <w:t xml:space="preserve">Quantitative benefits: </w:t>
      </w:r>
    </w:p>
    <w:p w:rsidR="00C64161" w:rsidRDefault="00160983" w14:paraId="672A3BAA" w14:textId="44FDE172">
      <w:pPr>
        <w:spacing w:after="80" w:before="0" w:line="240" w:lineRule="auto"/>
        <w:rPr>
          <w:rFonts w:ascii="Trebuchet MS" w:hAnsi="Trebuchet MS" w:eastAsia="Trebuchet MS" w:cs="Trebuchet MS"/>
          <w:bCs/>
          <w:sz w:val="18"/>
          <w:szCs w:val="18"/>
        </w:rPr>
      </w:pPr>
      <w:r>
        <w:rPr>
          <w:rFonts w:ascii="Trebuchet MS" w:hAnsi="Trebuchet MS"/>
          <w:i w:val="0"/>
          <w:sz w:val="18"/>
        </w:rPr>
        <w:t>On two-node H20 DeepSeek-V3/R1-style serving workloads, the latest SGLang/DeepEP measurements show Waterfill improving total throughput by +1.48% to +4.66% across MMLU, GPQA, and GSM8K. LPLB improves redundant-EPLB configurations by up to +7.34%, with the strongest result on GSM8K red32. On DeepSeek V4 Flash, Waterfill improves the best measured point from 49,253 tok/s to 51,677 tok/s (+4.92%). These gains preserve model semantics because the router top-k is unchanged; only the physical shared-expert rank or valid routed-expert replica is selected differently.</w:t>
      </w:r>
    </w:p>
    <w:sectPr w:rsidRPr="00160983" w:rsidR="00CD2FAD">
      <w:headerReference w:type="even" r:id="rId11"/>
      <w:headerReference w:type="default" r:id="rId12"/>
      <w:footerReference w:type="even" r:id="rId13"/>
      <w:footerReference w:type="default" r:id="rId14"/>
      <w:headerReference w:type="first" r:id="rId15"/>
      <w:footerReference w:type="first" r:id="rId16"/>
      <w:pgSz w:w="12240" w:h="15840" w:orient="portrait"/>
      <w:pgMar w:top="1356" w:right="1170" w:bottom="99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DA6" w:rsidRDefault="00832DA6" w14:paraId="75E4C5ED" w14:textId="77777777">
      <w:r>
        <w:separator/>
      </w:r>
    </w:p>
  </w:endnote>
  <w:endnote w:type="continuationSeparator" w:id="0">
    <w:p w:rsidR="00832DA6" w:rsidRDefault="00832DA6" w14:paraId="1FC4C3B5" w14:textId="77777777">
      <w:r>
        <w:continuationSeparator/>
      </w:r>
    </w:p>
  </w:endnote>
  <w:endnote w:type="continuationNotice" w:id="1">
    <w:p w:rsidR="00832DA6" w:rsidRDefault="00832DA6" w14:paraId="6A948D3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789" w:rsidRDefault="00E21789" w14:paraId="4527CE7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3F64E0C9" w:rsidTr="3F64E0C9" w14:paraId="1522D2AB" w14:textId="77777777">
      <w:trPr>
        <w:trHeight w:val="300"/>
      </w:trPr>
      <w:tc>
        <w:tcPr>
          <w:tcW w:w="3210" w:type="dxa"/>
        </w:tcPr>
        <w:p w:rsidR="3F64E0C9" w:rsidP="3F64E0C9" w:rsidRDefault="3F64E0C9" w14:paraId="4B7B3FED" w14:textId="378911D4">
          <w:pPr>
            <w:pStyle w:val="Header"/>
            <w:ind w:left="-115"/>
          </w:pPr>
        </w:p>
      </w:tc>
      <w:tc>
        <w:tcPr>
          <w:tcW w:w="3210" w:type="dxa"/>
        </w:tcPr>
        <w:p w:rsidR="3F64E0C9" w:rsidP="3F64E0C9" w:rsidRDefault="3F64E0C9" w14:paraId="4847ED00" w14:textId="6E96C5B2">
          <w:pPr>
            <w:pStyle w:val="Header"/>
            <w:jc w:val="center"/>
          </w:pPr>
        </w:p>
      </w:tc>
      <w:tc>
        <w:tcPr>
          <w:tcW w:w="3210" w:type="dxa"/>
        </w:tcPr>
        <w:p w:rsidR="3F64E0C9" w:rsidP="3F64E0C9" w:rsidRDefault="3F64E0C9" w14:paraId="3D693858" w14:textId="3CC63EF3">
          <w:pPr>
            <w:pStyle w:val="Header"/>
            <w:ind w:right="-115"/>
            <w:jc w:val="right"/>
          </w:pPr>
        </w:p>
      </w:tc>
    </w:tr>
  </w:tbl>
  <w:p w:rsidR="3F64E0C9" w:rsidP="3F64E0C9" w:rsidRDefault="3F64E0C9" w14:paraId="74F85D9A" w14:textId="4FE6057C">
    <w:pPr>
      <w:pStyle w:val="Footer"/>
    </w:pPr>
    <w:r>
      <w:rPr>
        <w:rFonts w:ascii="Trebuchet MS" w:hAnsi="Trebuchet MS"/>
        <w:sz w:val="16"/>
      </w:rPr>
      <w:t>NVIDIA CONFIDENTIAL | NTECH 2026 Submission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789" w:rsidRDefault="00E21789" w14:paraId="493355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DA6" w:rsidRDefault="00832DA6" w14:paraId="3CD3D691" w14:textId="77777777">
      <w:r>
        <w:separator/>
      </w:r>
    </w:p>
  </w:footnote>
  <w:footnote w:type="continuationSeparator" w:id="0">
    <w:p w:rsidR="00832DA6" w:rsidRDefault="00832DA6" w14:paraId="68F6AF43" w14:textId="77777777">
      <w:r>
        <w:continuationSeparator/>
      </w:r>
    </w:p>
  </w:footnote>
  <w:footnote w:type="continuationNotice" w:id="1">
    <w:p w:rsidR="00832DA6" w:rsidRDefault="00832DA6" w14:paraId="6DFC36D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789" w:rsidRDefault="00E21789" w14:paraId="16240C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753D" w:rsidRDefault="00FC753D" w14:paraId="30208E4C" w14:textId="77777777">
    <w:pPr>
      <w:widowControl w:val="0"/>
      <w:pBdr>
        <w:top w:val="nil"/>
        <w:left w:val="nil"/>
        <w:bottom w:val="nil"/>
        <w:right w:val="nil"/>
        <w:between w:val="nil"/>
      </w:pBdr>
      <w:spacing w:line="276" w:lineRule="auto"/>
      <w:rPr>
        <w:rFonts w:ascii="Trebuchet MS" w:hAnsi="Trebuchet MS" w:eastAsia="Trebuchet MS" w:cs="Trebuchet MS"/>
        <w:sz w:val="18"/>
        <w:szCs w:val="18"/>
      </w:rPr>
    </w:pPr>
  </w:p>
  <w:tbl>
    <w:tblPr>
      <w:tblW w:w="9630" w:type="dxa"/>
      <w:tblBorders>
        <w:bottom w:val="single" w:color="808080" w:sz="18" w:space="0"/>
        <w:insideV w:val="single" w:color="808080" w:sz="18" w:space="0"/>
      </w:tblBorders>
      <w:tblLayout w:type="fixed"/>
      <w:tblCellMar>
        <w:top w:w="72" w:type="dxa"/>
        <w:left w:w="115" w:type="dxa"/>
        <w:bottom w:w="72" w:type="dxa"/>
        <w:right w:w="115" w:type="dxa"/>
      </w:tblCellMar>
      <w:tblLook w:val="0400" w:firstRow="0" w:lastRow="0" w:firstColumn="0" w:lastColumn="0" w:noHBand="0" w:noVBand="1"/>
    </w:tblPr>
    <w:tblGrid>
      <w:gridCol w:w="8430"/>
      <w:gridCol w:w="1200"/>
    </w:tblGrid>
    <w:tr w:rsidR="00FC753D" w:rsidTr="772E2C91" w14:paraId="30208E4F" w14:textId="77777777">
      <w:trPr>
        <w:trHeight w:val="288"/>
      </w:trPr>
      <w:tc>
        <w:tcPr>
          <w:tcW w:w="8430" w:type="dxa"/>
          <w:tcMar/>
        </w:tcPr>
        <w:p w:rsidRPr="00B02F20" w:rsidR="00FC753D" w:rsidRDefault="00A03FD1" w14:paraId="30208E4D" w14:textId="7D635378">
          <w:pPr>
            <w:pBdr>
              <w:top w:val="nil"/>
              <w:left w:val="nil"/>
              <w:bottom w:val="nil"/>
              <w:right w:val="nil"/>
              <w:between w:val="nil"/>
            </w:pBdr>
            <w:tabs>
              <w:tab w:val="center" w:pos="4680"/>
              <w:tab w:val="right" w:pos="9360"/>
            </w:tabs>
            <w:jc w:val="right"/>
            <w:rPr>
              <w:rFonts w:ascii="Cambria" w:hAnsi="Cambria" w:cs="Cambria"/>
              <w:color w:val="000000"/>
              <w:sz w:val="40"/>
              <w:szCs w:val="40"/>
              <w:lang w:eastAsia="zh-CN"/>
            </w:rPr>
          </w:pPr>
          <w:r>
            <w:rPr>
              <w:rFonts w:ascii="Trebuchet MS" w:hAnsi="Trebuchet MS" w:eastAsia="Trebuchet MS" w:cs="Trebuchet MS"/>
              <w:color w:val="404040"/>
              <w:sz w:val="40"/>
              <w:szCs w:val="40"/>
            </w:rPr>
            <w:t>NTECH</w:t>
          </w:r>
          <w:r w:rsidR="00B02F20">
            <w:rPr>
              <w:rFonts w:hint="eastAsia" w:ascii="Trebuchet MS" w:hAnsi="Trebuchet MS" w:cs="Trebuchet MS"/>
              <w:color w:val="404040"/>
              <w:sz w:val="40"/>
              <w:szCs w:val="40"/>
              <w:lang w:eastAsia="zh-CN"/>
            </w:rPr>
            <w:t xml:space="preserve"> CHINA</w:t>
          </w:r>
        </w:p>
      </w:tc>
      <w:tc>
        <w:tcPr>
          <w:tcW w:w="1200" w:type="dxa"/>
          <w:tcMar/>
        </w:tcPr>
        <w:p w:rsidR="00FC753D" w:rsidP="772E2C91" w:rsidRDefault="00A03FD1" w14:paraId="30208E4E" w14:textId="218BFBE1">
          <w:pPr>
            <w:pBdr>
              <w:top w:val="nil" w:color="FF000000" w:sz="0" w:space="0"/>
              <w:left w:val="nil" w:color="FF000000" w:sz="0" w:space="0"/>
              <w:bottom w:val="nil" w:color="FF000000" w:sz="0" w:space="0"/>
              <w:right w:val="nil" w:color="FF000000" w:sz="0" w:space="0"/>
              <w:between w:val="nil" w:color="FF000000" w:sz="0" w:space="0"/>
            </w:pBdr>
            <w:tabs>
              <w:tab w:val="center" w:pos="4680"/>
              <w:tab w:val="right" w:pos="9360"/>
            </w:tabs>
            <w:rPr>
              <w:rFonts w:ascii="Trebuchet MS" w:hAnsi="Trebuchet MS" w:eastAsia="Trebuchet MS" w:cs="Trebuchet MS"/>
              <w:b w:val="1"/>
              <w:bCs w:val="1"/>
              <w:color w:val="76B900"/>
              <w:sz w:val="40"/>
              <w:szCs w:val="40"/>
            </w:rPr>
          </w:pPr>
          <w:r w:rsidRPr="772E2C91" w:rsidR="772E2C91">
            <w:rPr>
              <w:rFonts w:ascii="Trebuchet MS" w:hAnsi="Trebuchet MS" w:eastAsia="Trebuchet MS" w:cs="Trebuchet MS"/>
              <w:b w:val="1"/>
              <w:bCs w:val="1"/>
              <w:color w:val="76B900"/>
              <w:sz w:val="40"/>
              <w:szCs w:val="40"/>
            </w:rPr>
            <w:t>202</w:t>
          </w:r>
          <w:r w:rsidRPr="772E2C91" w:rsidR="772E2C91">
            <w:rPr>
              <w:rFonts w:ascii="Trebuchet MS" w:hAnsi="Trebuchet MS" w:eastAsia="Trebuchet MS" w:cs="Trebuchet MS"/>
              <w:b w:val="1"/>
              <w:bCs w:val="1"/>
              <w:color w:val="76B900"/>
              <w:sz w:val="40"/>
              <w:szCs w:val="40"/>
            </w:rPr>
            <w:t>6</w:t>
          </w:r>
        </w:p>
      </w:tc>
    </w:tr>
  </w:tbl>
  <w:p w:rsidR="00FC753D" w:rsidP="00DA2613" w:rsidRDefault="00A03FD1" w14:paraId="30208E50" w14:textId="01FC3988">
    <w:pPr>
      <w:pBdr>
        <w:top w:val="nil"/>
        <w:left w:val="nil"/>
        <w:bottom w:val="nil"/>
        <w:right w:val="nil"/>
        <w:between w:val="nil"/>
      </w:pBdr>
      <w:tabs>
        <w:tab w:val="center" w:pos="4680"/>
        <w:tab w:val="right" w:pos="9360"/>
      </w:tabs>
      <w:ind w:right="600"/>
      <w:jc w:val="right"/>
      <w:rPr>
        <w:b/>
        <w:color w:val="000000"/>
        <w:lang w:eastAsia="zh-CN"/>
      </w:rPr>
    </w:pPr>
    <w:r>
      <w:rPr>
        <w:b/>
        <w:color w:val="404040"/>
        <w:sz w:val="20"/>
        <w:szCs w:val="20"/>
      </w:rPr>
      <w:t>NVIDIA CONFIDENTIAL</w:t>
    </w:r>
    <w:r w:rsidR="00E21789">
      <w:rPr>
        <w:rFonts w:hint="eastAsia"/>
        <w:b/>
        <w:color w:val="404040"/>
        <w:sz w:val="20"/>
        <w:szCs w:val="20"/>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789" w:rsidRDefault="00E21789" w14:paraId="6EB50D8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7477"/>
    <w:multiLevelType w:val="multilevel"/>
    <w:tmpl w:val="88E0619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68651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8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53D"/>
    <w:rsid w:val="00036015"/>
    <w:rsid w:val="00071C5E"/>
    <w:rsid w:val="00076D7C"/>
    <w:rsid w:val="000802EF"/>
    <w:rsid w:val="000B673C"/>
    <w:rsid w:val="000F77EF"/>
    <w:rsid w:val="00160983"/>
    <w:rsid w:val="001A1CE1"/>
    <w:rsid w:val="00252748"/>
    <w:rsid w:val="00261A0F"/>
    <w:rsid w:val="0029253F"/>
    <w:rsid w:val="002D61DB"/>
    <w:rsid w:val="0031510B"/>
    <w:rsid w:val="00416F3E"/>
    <w:rsid w:val="004F3D13"/>
    <w:rsid w:val="00645EB3"/>
    <w:rsid w:val="006C0B3D"/>
    <w:rsid w:val="00750BA8"/>
    <w:rsid w:val="00832DA6"/>
    <w:rsid w:val="008424BB"/>
    <w:rsid w:val="00871775"/>
    <w:rsid w:val="008B5642"/>
    <w:rsid w:val="00912754"/>
    <w:rsid w:val="00965F51"/>
    <w:rsid w:val="009A59CB"/>
    <w:rsid w:val="009C2BE8"/>
    <w:rsid w:val="00A03FD1"/>
    <w:rsid w:val="00A86DE1"/>
    <w:rsid w:val="00AA480B"/>
    <w:rsid w:val="00B02F20"/>
    <w:rsid w:val="00B87A3B"/>
    <w:rsid w:val="00BA15D7"/>
    <w:rsid w:val="00BD37F8"/>
    <w:rsid w:val="00C07732"/>
    <w:rsid w:val="00C64161"/>
    <w:rsid w:val="00CD2FAD"/>
    <w:rsid w:val="00CE6AF9"/>
    <w:rsid w:val="00D11135"/>
    <w:rsid w:val="00D57357"/>
    <w:rsid w:val="00D8074A"/>
    <w:rsid w:val="00D92533"/>
    <w:rsid w:val="00DA2613"/>
    <w:rsid w:val="00E12727"/>
    <w:rsid w:val="00E21789"/>
    <w:rsid w:val="00E40766"/>
    <w:rsid w:val="00E67DC3"/>
    <w:rsid w:val="00F5594C"/>
    <w:rsid w:val="00FA567B"/>
    <w:rsid w:val="00FB240E"/>
    <w:rsid w:val="00FC753D"/>
    <w:rsid w:val="0E130763"/>
    <w:rsid w:val="1BE894EE"/>
    <w:rsid w:val="26821019"/>
    <w:rsid w:val="3F64E0C9"/>
    <w:rsid w:val="48EB12CE"/>
    <w:rsid w:val="5A472047"/>
    <w:rsid w:val="6A35BCF7"/>
    <w:rsid w:val="6D22AA2D"/>
    <w:rsid w:val="772E2C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8E3C"/>
  <w15:docId w15:val="{340FBBDB-2953-45A2-8B50-2CB763AE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cs="Calibri" w:eastAsiaTheme="minorEastAs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0B2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F0B2A"/>
    <w:pPr>
      <w:tabs>
        <w:tab w:val="center" w:pos="4680"/>
        <w:tab w:val="right" w:pos="9360"/>
      </w:tabs>
    </w:pPr>
  </w:style>
  <w:style w:type="character" w:styleId="HeaderChar" w:customStyle="1">
    <w:name w:val="Header Char"/>
    <w:basedOn w:val="DefaultParagraphFont"/>
    <w:link w:val="Header"/>
    <w:uiPriority w:val="99"/>
    <w:rsid w:val="00CF0B2A"/>
    <w:rPr>
      <w:rFonts w:ascii="Calibri" w:hAnsi="Calibri" w:eastAsia="Calibri" w:cs="Calibri"/>
    </w:rPr>
  </w:style>
  <w:style w:type="paragraph" w:styleId="Footer">
    <w:name w:val="footer"/>
    <w:basedOn w:val="Normal"/>
    <w:link w:val="FooterChar"/>
    <w:uiPriority w:val="99"/>
    <w:unhideWhenUsed/>
    <w:rsid w:val="00CF0B2A"/>
    <w:pPr>
      <w:tabs>
        <w:tab w:val="center" w:pos="4680"/>
        <w:tab w:val="right" w:pos="9360"/>
      </w:tabs>
    </w:pPr>
  </w:style>
  <w:style w:type="character" w:styleId="FooterChar" w:customStyle="1">
    <w:name w:val="Footer Char"/>
    <w:basedOn w:val="DefaultParagraphFont"/>
    <w:link w:val="Footer"/>
    <w:uiPriority w:val="99"/>
    <w:rsid w:val="00CF0B2A"/>
    <w:rPr>
      <w:rFonts w:ascii="Calibri" w:hAnsi="Calibri" w:eastAsia="Calibri" w:cs="Calibri"/>
    </w:rPr>
  </w:style>
  <w:style w:type="paragraph" w:styleId="BalloonText">
    <w:name w:val="Balloon Text"/>
    <w:basedOn w:val="Normal"/>
    <w:link w:val="BalloonTextChar"/>
    <w:uiPriority w:val="99"/>
    <w:semiHidden/>
    <w:unhideWhenUsed/>
    <w:rsid w:val="00CF0B2A"/>
    <w:rPr>
      <w:rFonts w:ascii="Tahoma" w:hAnsi="Tahoma" w:cs="Tahoma"/>
      <w:sz w:val="16"/>
      <w:szCs w:val="16"/>
    </w:rPr>
  </w:style>
  <w:style w:type="character" w:styleId="BalloonTextChar" w:customStyle="1">
    <w:name w:val="Balloon Text Char"/>
    <w:basedOn w:val="DefaultParagraphFont"/>
    <w:link w:val="BalloonText"/>
    <w:uiPriority w:val="99"/>
    <w:semiHidden/>
    <w:rsid w:val="00CF0B2A"/>
    <w:rPr>
      <w:rFonts w:ascii="Tahoma" w:hAnsi="Tahoma" w:eastAsia="Calibri" w:cs="Tahoma"/>
      <w:sz w:val="16"/>
      <w:szCs w:val="16"/>
    </w:rPr>
  </w:style>
  <w:style w:type="paragraph" w:styleId="ListParagraph">
    <w:name w:val="List Paragraph"/>
    <w:basedOn w:val="Normal"/>
    <w:uiPriority w:val="34"/>
    <w:qFormat/>
    <w:rsid w:val="00CF0B2A"/>
    <w:pPr>
      <w:ind w:left="720"/>
      <w:contextualSpacing/>
    </w:pPr>
  </w:style>
  <w:style w:type="character" w:styleId="Hyperlink">
    <w:name w:val="Hyperlink"/>
    <w:basedOn w:val="DefaultParagraphFont"/>
    <w:uiPriority w:val="99"/>
    <w:unhideWhenUsed/>
    <w:rsid w:val="00DF17AA"/>
    <w:rPr>
      <w:color w:val="0000FF" w:themeColor="hyperlink"/>
      <w:u w:val="single"/>
    </w:rPr>
  </w:style>
  <w:style w:type="paragraph" w:styleId="Default" w:customStyle="1">
    <w:name w:val="Default"/>
    <w:rsid w:val="005B745A"/>
    <w:pPr>
      <w:autoSpaceDE w:val="0"/>
      <w:autoSpaceDN w:val="0"/>
      <w:adjustRightInd w:val="0"/>
    </w:pPr>
    <w:rPr>
      <w:rFonts w:ascii="Trebuchet MS" w:hAnsi="Trebuchet MS" w:cs="Trebuchet MS"/>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72" w:type="dxa"/>
        <w:left w:w="115" w:type="dxa"/>
        <w:bottom w:w="72" w:type="dxa"/>
        <w:right w:w="115"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6F09AC4A6F664FBABEDC39250815FB" ma:contentTypeVersion="14" ma:contentTypeDescription="Create a new document." ma:contentTypeScope="" ma:versionID="5dde4337bcedb654d79ec1a33169c356">
  <xsd:schema xmlns:xsd="http://www.w3.org/2001/XMLSchema" xmlns:xs="http://www.w3.org/2001/XMLSchema" xmlns:p="http://schemas.microsoft.com/office/2006/metadata/properties" xmlns:ns1="http://schemas.microsoft.com/sharepoint/v3" xmlns:ns2="dd2a4ee4-6b09-42b9-9a64-8c33b4bfb8dd" xmlns:ns3="f65afe6d-7162-4df4-ae98-80745cab72d4" targetNamespace="http://schemas.microsoft.com/office/2006/metadata/properties" ma:root="true" ma:fieldsID="7009531886d89c565c0c5fa29869ce2b" ns1:_="" ns2:_="" ns3:_="">
    <xsd:import namespace="http://schemas.microsoft.com/sharepoint/v3"/>
    <xsd:import namespace="dd2a4ee4-6b09-42b9-9a64-8c33b4bfb8dd"/>
    <xsd:import namespace="f65afe6d-7162-4df4-ae98-80745cab72d4"/>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2a4ee4-6b09-42b9-9a64-8c33b4bfb8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4b2a00-2846-4002-b30b-85ebaf4c019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afe6d-7162-4df4-ae98-80745cab72d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9d4e2c1-4547-4ca0-9568-b573cd0c84c4}" ma:internalName="TaxCatchAll" ma:showField="CatchAllData" ma:web="f65afe6d-7162-4df4-ae98-80745cab7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j5f/nxVGksByVADI6Nb+V2OW/zkg==">AMUW2mXmHuYVExC7V9/I98knXYG63TDShuy1XHhvc9isPjbsm4jifgcl7aUwUAzdt5HMSNe/WUdde1whGMj0B4kMe2uHwkFBeQwsuwwsYYqnkNN73DchmuNiSSwJTN5Mr3vbVoupicU3</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65afe6d-7162-4df4-ae98-80745cab72d4" xsi:nil="true"/>
    <lcf76f155ced4ddcb4097134ff3c332f xmlns="dd2a4ee4-6b09-42b9-9a64-8c33b4bfb8dd">
      <Terms xmlns="http://schemas.microsoft.com/office/infopath/2007/PartnerControls"/>
    </lcf76f155ced4ddcb4097134ff3c332f>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FBCADEC2-C6D2-4335-80F9-FACE80F98EAB}"/>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FFD2DC6-EF32-47A1-89B5-2E3ACF247C4B}">
  <ds:schemaRefs>
    <ds:schemaRef ds:uri="http://schemas.microsoft.com/sharepoint/v3/contenttype/forms"/>
  </ds:schemaRefs>
</ds:datastoreItem>
</file>

<file path=customXml/itemProps4.xml><?xml version="1.0" encoding="utf-8"?>
<ds:datastoreItem xmlns:ds="http://schemas.openxmlformats.org/officeDocument/2006/customXml" ds:itemID="{0A5AD19D-5106-40E7-8791-BA981A9EC4AC}">
  <ds:schemaRefs>
    <ds:schemaRef ds:uri="http://schemas.microsoft.com/office/2006/metadata/properties"/>
    <ds:schemaRef ds:uri="http://schemas.microsoft.com/office/infopath/2007/PartnerControls"/>
    <ds:schemaRef ds:uri="f65afe6d-7162-4df4-ae98-80745cab72d4"/>
    <ds:schemaRef ds:uri="dd2a4ee4-6b09-42b9-9a64-8c33b4bfb8dd"/>
    <ds:schemaRef ds:uri="http://schemas.microsoft.com/sharepoint/v3"/>
  </ds:schemaRefs>
</ds:datastoreItem>
</file>

<file path=docMetadata/LabelInfo.xml><?xml version="1.0" encoding="utf-8"?>
<clbl:labelList xmlns:clbl="http://schemas.microsoft.com/office/2020/mipLabelMetadata">
  <clbl:label id="{6b558183-044c-4105-8d9c-cea02a2a3d86}" enabled="1" method="Standard" siteId="{43083d15-7273-40c1-b7db-39efd9ccc17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2</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Nvidia</dc:creator>
  <keywords/>
  <lastModifiedBy>Joe Xie</lastModifiedBy>
  <revision>15</revision>
  <dcterms:created xsi:type="dcterms:W3CDTF">2024-06-11T20:27:00.0000000Z</dcterms:created>
  <dcterms:modified xsi:type="dcterms:W3CDTF">2026-06-09T05:26:37.3154995Z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0x010100EB6F09AC4A6F664FBABEDC39250815FB</vt:lpwstr>
  </property>
  <property fmtid="{D5CDD505-2E9C-101B-9397-08002B2CF9AE}" pid="3" name="MSIP_Label_6b558183-044c-4105-8d9c-cea02a2a3d86_Enabled">
    <vt:lpwstr>True</vt:lpwstr>
  </property>
  <property fmtid="{D5CDD505-2E9C-101B-9397-08002B2CF9AE}" pid="4" name="MSIP_Label_6b558183-044c-4105-8d9c-cea02a2a3d86_SiteId">
    <vt:lpwstr>43083d15-7273-40c1-b7db-39efd9ccc17a</vt:lpwstr>
  </property>
  <property fmtid="{D5CDD505-2E9C-101B-9397-08002B2CF9AE}" pid="5" name="MSIP_Label_6b558183-044c-4105-8d9c-cea02a2a3d86_Owner">
    <vt:lpwstr>schanak@nvidia.com</vt:lpwstr>
  </property>
  <property fmtid="{D5CDD505-2E9C-101B-9397-08002B2CF9AE}" pid="6" name="MSIP_Label_6b558183-044c-4105-8d9c-cea02a2a3d86_SetDate">
    <vt:lpwstr>2018-08-08T22:09:16.2905895Z</vt:lpwstr>
  </property>
  <property fmtid="{D5CDD505-2E9C-101B-9397-08002B2CF9AE}" pid="7" name="MSIP_Label_6b558183-044c-4105-8d9c-cea02a2a3d86_Name">
    <vt:lpwstr>Unrestricted</vt:lpwstr>
  </property>
  <property fmtid="{D5CDD505-2E9C-101B-9397-08002B2CF9AE}" pid="8" name="MSIP_Label_6b558183-044c-4105-8d9c-cea02a2a3d86_Application">
    <vt:lpwstr>Microsoft Azure Information Protection</vt:lpwstr>
  </property>
  <property fmtid="{D5CDD505-2E9C-101B-9397-08002B2CF9AE}" pid="9" name="MSIP_Label_6b558183-044c-4105-8d9c-cea02a2a3d86_Extended_MSFT_Method">
    <vt:lpwstr>Automatic</vt:lpwstr>
  </property>
  <property fmtid="{D5CDD505-2E9C-101B-9397-08002B2CF9AE}" pid="10" name="Sensitivity">
    <vt:lpwstr>Unrestricted</vt:lpwstr>
  </property>
  <property fmtid="{D5CDD505-2E9C-101B-9397-08002B2CF9AE}" pid="11" name="MediaServiceImageTags">
    <vt:lpwstr/>
  </property>
  <property fmtid="{D5CDD505-2E9C-101B-9397-08002B2CF9AE}" pid="13" name="docLang">
    <vt:lpwstr>en</vt:lpwstr>
  </property>
</Properties>
</file>