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t xml:space="preserve">Yes. Based on your </w:t>
      </w:r>
      <w:r>
        <w:rPr>
          <w:rStyle w:val="StrongEmphasis"/>
        </w:rPr>
        <w:t>Solutions &amp; Service Catalogue</w:t>
      </w:r>
      <w:r>
        <w:rPr/>
        <w:t xml:space="preserve"> and </w:t>
      </w:r>
      <w:r>
        <w:rPr>
          <w:rStyle w:val="StrongEmphasis"/>
        </w:rPr>
        <w:t>Products &amp; Platforms Catalogue</w:t>
      </w:r>
      <w:r>
        <w:rPr/>
        <w:t xml:space="preserve">, AICORE should benchmark companies across </w:t>
      </w:r>
      <w:r>
        <w:rPr>
          <w:rStyle w:val="StrongEmphasis"/>
        </w:rPr>
        <w:t>AI tools, business automation, SaaS platforms, embedded/IoT/edge AI, WMS, smart energy monitoring, device fleet management, robotics, developer tools, and technical training</w:t>
      </w:r>
      <w:r>
        <w:rPr/>
        <w:t>. Your catalogue defines eight service pillars, including AI Systems, Process Automation, Intelligent Platforms/SaaS, Embedded/IoT/Edge AI, Robotics, Developer Tools, Mobile Apps, and AICORE Academy. Your product catalogue also lists GrowthOS, Throughport WMS, IoT Monitoring Platform, Device Fleet Management, Smart Energy Monitoring, AI Business Assistant, AI Document Intelligence, AI Workflow Automation Toolkit, Edge AI/Computer Vision, Academy Learning Platform, firmware testing tools, and robotics/STEM kits.</w:t>
      </w:r>
    </w:p>
    <w:p>
      <w:pPr>
        <w:pStyle w:val="Heading2"/>
        <w:rPr/>
      </w:pPr>
      <w:r>
        <w:rPr/>
        <w:t>Best companies to study first</w:t>
      </w:r>
    </w:p>
    <w:tbl>
      <w:tblPr>
        <w:tblW w:w="9360" w:type="dxa"/>
        <w:jc w:val="left"/>
        <w:tblInd w:w="0" w:type="dxa"/>
        <w:tblLayout w:type="fixed"/>
        <w:tblCellMar>
          <w:top w:w="28" w:type="dxa"/>
          <w:left w:w="28" w:type="dxa"/>
          <w:bottom w:w="28" w:type="dxa"/>
          <w:right w:w="28" w:type="dxa"/>
        </w:tblCellMar>
      </w:tblPr>
      <w:tblGrid>
        <w:gridCol w:w="1369"/>
        <w:gridCol w:w="3370"/>
        <w:gridCol w:w="4621"/>
      </w:tblGrid>
      <w:tr>
        <w:trPr>
          <w:tblHeader w:val="true"/>
        </w:trPr>
        <w:tc>
          <w:tcPr>
            <w:tcW w:w="1369" w:type="dxa"/>
            <w:tcBorders/>
            <w:vAlign w:val="center"/>
          </w:tcPr>
          <w:p>
            <w:pPr>
              <w:pStyle w:val="TableHeading"/>
              <w:suppressLineNumbers/>
              <w:spacing w:before="0" w:after="160"/>
              <w:jc w:val="center"/>
              <w:rPr/>
            </w:pPr>
            <w:r>
              <w:rPr/>
              <w:t>Company</w:t>
            </w:r>
          </w:p>
        </w:tc>
        <w:tc>
          <w:tcPr>
            <w:tcW w:w="3370" w:type="dxa"/>
            <w:tcBorders/>
            <w:vAlign w:val="center"/>
          </w:tcPr>
          <w:p>
            <w:pPr>
              <w:pStyle w:val="TableHeading"/>
              <w:suppressLineNumbers/>
              <w:spacing w:before="0" w:after="160"/>
              <w:jc w:val="center"/>
              <w:rPr/>
            </w:pPr>
            <w:r>
              <w:rPr/>
              <w:t>Why it is relevant to AICORE</w:t>
            </w:r>
          </w:p>
        </w:tc>
        <w:tc>
          <w:tcPr>
            <w:tcW w:w="4621" w:type="dxa"/>
            <w:tcBorders/>
            <w:vAlign w:val="center"/>
          </w:tcPr>
          <w:p>
            <w:pPr>
              <w:pStyle w:val="TableHeading"/>
              <w:suppressLineNumbers/>
              <w:spacing w:before="0" w:after="160"/>
              <w:jc w:val="center"/>
              <w:rPr/>
            </w:pPr>
            <w:r>
              <w:rPr/>
              <w:t>What to study from their website</w:t>
            </w:r>
          </w:p>
        </w:tc>
      </w:tr>
      <w:tr>
        <w:trPr/>
        <w:tc>
          <w:tcPr>
            <w:tcW w:w="1369" w:type="dxa"/>
            <w:tcBorders/>
            <w:vAlign w:val="center"/>
          </w:tcPr>
          <w:p>
            <w:pPr>
              <w:pStyle w:val="TableContents"/>
              <w:widowControl w:val="false"/>
              <w:suppressLineNumbers/>
              <w:spacing w:before="0" w:after="160"/>
              <w:rPr/>
            </w:pPr>
            <w:r>
              <w:rPr>
                <w:rStyle w:val="StrongEmphasis"/>
              </w:rPr>
              <w:t>Softeq</w:t>
            </w:r>
          </w:p>
        </w:tc>
        <w:tc>
          <w:tcPr>
            <w:tcW w:w="3370" w:type="dxa"/>
            <w:tcBorders/>
            <w:vAlign w:val="center"/>
          </w:tcPr>
          <w:p>
            <w:pPr>
              <w:pStyle w:val="TableContents"/>
              <w:widowControl w:val="false"/>
              <w:suppressLineNumbers/>
              <w:spacing w:before="0" w:after="160"/>
              <w:rPr/>
            </w:pPr>
            <w:r>
              <w:rPr/>
              <w:t>Very close to AICORE’s mix: embedded systems, edge AI, IoT, AI/ML, robotics, industrial automation, software, and hardware integration.</w:t>
            </w:r>
          </w:p>
        </w:tc>
        <w:tc>
          <w:tcPr>
            <w:tcW w:w="4621" w:type="dxa"/>
            <w:tcBorders/>
            <w:vAlign w:val="center"/>
          </w:tcPr>
          <w:p>
            <w:pPr>
              <w:pStyle w:val="TableContents"/>
              <w:widowControl w:val="false"/>
              <w:suppressLineNumbers/>
              <w:spacing w:before="0" w:after="160"/>
              <w:rPr/>
            </w:pPr>
            <w:r>
              <w:rPr/>
              <w:t>Homepage positioning, embedded/IoT service pages, case study structure, how they present hardware + software together. Softeq describes itself around embedded tech, edge AI, IoT, wearables, computer vision, industrial automation, and robotics. (</w:t>
            </w:r>
            <w:hyperlink r:id="rId2">
              <w:r>
                <w:rPr>
                  <w:rStyle w:val="InternetLink"/>
                </w:rPr>
                <w:t>softeq.com</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Very</w:t>
            </w:r>
          </w:p>
        </w:tc>
        <w:tc>
          <w:tcPr>
            <w:tcW w:w="3370" w:type="dxa"/>
            <w:tcBorders/>
            <w:vAlign w:val="center"/>
          </w:tcPr>
          <w:p>
            <w:pPr>
              <w:pStyle w:val="TableContents"/>
              <w:widowControl w:val="false"/>
              <w:suppressLineNumbers/>
              <w:spacing w:before="0" w:after="160"/>
              <w:rPr/>
            </w:pPr>
            <w:r>
              <w:rPr/>
              <w:t>Strong IoT product development and AI-powered enterprise solutions company.</w:t>
            </w:r>
          </w:p>
        </w:tc>
        <w:tc>
          <w:tcPr>
            <w:tcW w:w="4621" w:type="dxa"/>
            <w:tcBorders/>
            <w:vAlign w:val="center"/>
          </w:tcPr>
          <w:p>
            <w:pPr>
              <w:pStyle w:val="TableContents"/>
              <w:widowControl w:val="false"/>
              <w:suppressLineNumbers/>
              <w:spacing w:before="0" w:after="160"/>
              <w:rPr/>
            </w:pPr>
            <w:r>
              <w:rPr/>
              <w:t>Their IoT product development flow: roadmap, product strategy, proof of concept, prototypes, manufacturing support, and launch. (</w:t>
            </w:r>
            <w:hyperlink r:id="rId3">
              <w:r>
                <w:rPr>
                  <w:rStyle w:val="InternetLink"/>
                </w:rPr>
                <w:t>Very</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UiPath</w:t>
            </w:r>
          </w:p>
        </w:tc>
        <w:tc>
          <w:tcPr>
            <w:tcW w:w="3370" w:type="dxa"/>
            <w:tcBorders/>
            <w:vAlign w:val="center"/>
          </w:tcPr>
          <w:p>
            <w:pPr>
              <w:pStyle w:val="TableContents"/>
              <w:widowControl w:val="false"/>
              <w:suppressLineNumbers/>
              <w:spacing w:before="0" w:after="160"/>
              <w:rPr/>
            </w:pPr>
            <w:r>
              <w:rPr/>
              <w:t>Similar to AICORE’s process/business automation and AI workflow direction.</w:t>
            </w:r>
          </w:p>
        </w:tc>
        <w:tc>
          <w:tcPr>
            <w:tcW w:w="4621" w:type="dxa"/>
            <w:tcBorders/>
            <w:vAlign w:val="center"/>
          </w:tcPr>
          <w:p>
            <w:pPr>
              <w:pStyle w:val="TableContents"/>
              <w:widowControl w:val="false"/>
              <w:suppressLineNumbers/>
              <w:spacing w:before="0" w:after="160"/>
              <w:rPr/>
            </w:pPr>
            <w:r>
              <w:rPr/>
              <w:t>How they package automation, AI agents, robots, tools, people, and ROI into one enterprise story. (</w:t>
            </w:r>
            <w:hyperlink r:id="rId4">
              <w:r>
                <w:rPr>
                  <w:rStyle w:val="InternetLink"/>
                </w:rPr>
                <w:t>UiPath</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n8n</w:t>
            </w:r>
          </w:p>
        </w:tc>
        <w:tc>
          <w:tcPr>
            <w:tcW w:w="3370" w:type="dxa"/>
            <w:tcBorders/>
            <w:vAlign w:val="center"/>
          </w:tcPr>
          <w:p>
            <w:pPr>
              <w:pStyle w:val="TableContents"/>
              <w:widowControl w:val="false"/>
              <w:suppressLineNumbers/>
              <w:spacing w:before="0" w:after="160"/>
              <w:rPr/>
            </w:pPr>
            <w:r>
              <w:rPr/>
              <w:t>Relevant to GrowthOS, AI workflow automation, internal automations, and developer-friendly automation.</w:t>
            </w:r>
          </w:p>
        </w:tc>
        <w:tc>
          <w:tcPr>
            <w:tcW w:w="4621" w:type="dxa"/>
            <w:tcBorders/>
            <w:vAlign w:val="center"/>
          </w:tcPr>
          <w:p>
            <w:pPr>
              <w:pStyle w:val="TableContents"/>
              <w:widowControl w:val="false"/>
              <w:suppressLineNumbers/>
              <w:spacing w:before="0" w:after="160"/>
              <w:rPr/>
            </w:pPr>
            <w:r>
              <w:rPr/>
              <w:t>Their positioning around AI workflows, visible workflow canvas, integrations, traceability, self-hosting, and technical-user messaging. (</w:t>
            </w:r>
            <w:hyperlink r:id="rId5">
              <w:r>
                <w:rPr>
                  <w:rStyle w:val="InternetLink"/>
                </w:rPr>
                <w:t>n8n</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Clay</w:t>
            </w:r>
          </w:p>
        </w:tc>
        <w:tc>
          <w:tcPr>
            <w:tcW w:w="3370" w:type="dxa"/>
            <w:tcBorders/>
            <w:vAlign w:val="center"/>
          </w:tcPr>
          <w:p>
            <w:pPr>
              <w:pStyle w:val="TableContents"/>
              <w:widowControl w:val="false"/>
              <w:suppressLineNumbers/>
              <w:spacing w:before="0" w:after="160"/>
              <w:rPr/>
            </w:pPr>
            <w:r>
              <w:rPr/>
              <w:t>Very relevant to GrowthOS: lead enrichment, AI research agents, prospecting, and growth workflows.</w:t>
            </w:r>
          </w:p>
        </w:tc>
        <w:tc>
          <w:tcPr>
            <w:tcW w:w="4621" w:type="dxa"/>
            <w:tcBorders/>
            <w:vAlign w:val="center"/>
          </w:tcPr>
          <w:p>
            <w:pPr>
              <w:pStyle w:val="TableContents"/>
              <w:widowControl w:val="false"/>
              <w:suppressLineNumbers/>
              <w:spacing w:before="0" w:after="160"/>
              <w:rPr/>
            </w:pPr>
            <w:r>
              <w:rPr/>
              <w:t>How they explain data enrichment, AI agents, GTM workflows, and lead intelligence. (</w:t>
            </w:r>
            <w:hyperlink r:id="rId6">
              <w:r>
                <w:rPr>
                  <w:rStyle w:val="InternetLink"/>
                </w:rPr>
                <w:t>Clay</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HubSpot Breeze</w:t>
            </w:r>
          </w:p>
        </w:tc>
        <w:tc>
          <w:tcPr>
            <w:tcW w:w="3370" w:type="dxa"/>
            <w:tcBorders/>
            <w:vAlign w:val="center"/>
          </w:tcPr>
          <w:p>
            <w:pPr>
              <w:pStyle w:val="TableContents"/>
              <w:widowControl w:val="false"/>
              <w:suppressLineNumbers/>
              <w:spacing w:before="0" w:after="160"/>
              <w:rPr/>
            </w:pPr>
            <w:r>
              <w:rPr/>
              <w:t>Useful for AI CRM, AI assistant, marketing/sales/service workflow messaging.</w:t>
            </w:r>
          </w:p>
        </w:tc>
        <w:tc>
          <w:tcPr>
            <w:tcW w:w="4621" w:type="dxa"/>
            <w:tcBorders/>
            <w:vAlign w:val="center"/>
          </w:tcPr>
          <w:p>
            <w:pPr>
              <w:pStyle w:val="TableContents"/>
              <w:widowControl w:val="false"/>
              <w:suppressLineNumbers/>
              <w:spacing w:before="0" w:after="160"/>
              <w:rPr/>
            </w:pPr>
            <w:r>
              <w:rPr/>
              <w:t>How they integrate AI into CRM, sales, marketing, service, and daily business workflows. (</w:t>
            </w:r>
            <w:hyperlink r:id="rId7">
              <w:r>
                <w:rPr>
                  <w:rStyle w:val="InternetLink"/>
                </w:rPr>
                <w:t>HubSpot</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Salesforce Agentforce</w:t>
            </w:r>
          </w:p>
        </w:tc>
        <w:tc>
          <w:tcPr>
            <w:tcW w:w="3370" w:type="dxa"/>
            <w:tcBorders/>
            <w:vAlign w:val="center"/>
          </w:tcPr>
          <w:p>
            <w:pPr>
              <w:pStyle w:val="TableContents"/>
              <w:widowControl w:val="false"/>
              <w:suppressLineNumbers/>
              <w:spacing w:before="0" w:after="160"/>
              <w:rPr/>
            </w:pPr>
            <w:r>
              <w:rPr/>
              <w:t>Useful for enterprise AI agents, workflow automation, and AI CRM positioning.</w:t>
            </w:r>
          </w:p>
        </w:tc>
        <w:tc>
          <w:tcPr>
            <w:tcW w:w="4621" w:type="dxa"/>
            <w:tcBorders/>
            <w:vAlign w:val="center"/>
          </w:tcPr>
          <w:p>
            <w:pPr>
              <w:pStyle w:val="TableContents"/>
              <w:widowControl w:val="false"/>
              <w:suppressLineNumbers/>
              <w:spacing w:before="0" w:after="160"/>
              <w:rPr/>
            </w:pPr>
            <w:r>
              <w:rPr/>
              <w:t>How they present AI agents as role-based business workers connected to business data and actions. (</w:t>
            </w:r>
            <w:hyperlink r:id="rId8">
              <w:r>
                <w:rPr>
                  <w:rStyle w:val="InternetLink"/>
                </w:rPr>
                <w:t>Salesforce</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PTC ThingWorx</w:t>
            </w:r>
          </w:p>
        </w:tc>
        <w:tc>
          <w:tcPr>
            <w:tcW w:w="3370" w:type="dxa"/>
            <w:tcBorders/>
            <w:vAlign w:val="center"/>
          </w:tcPr>
          <w:p>
            <w:pPr>
              <w:pStyle w:val="TableContents"/>
              <w:widowControl w:val="false"/>
              <w:suppressLineNumbers/>
              <w:spacing w:before="0" w:after="160"/>
              <w:rPr/>
            </w:pPr>
            <w:r>
              <w:rPr/>
              <w:t>Relevant to industrial IoT, edge-to-cloud systems, connected products, and manufacturing.</w:t>
            </w:r>
          </w:p>
        </w:tc>
        <w:tc>
          <w:tcPr>
            <w:tcW w:w="4621" w:type="dxa"/>
            <w:tcBorders/>
            <w:vAlign w:val="center"/>
          </w:tcPr>
          <w:p>
            <w:pPr>
              <w:pStyle w:val="TableContents"/>
              <w:widowControl w:val="false"/>
              <w:suppressLineNumbers/>
              <w:spacing w:before="0" w:after="160"/>
              <w:rPr/>
            </w:pPr>
            <w:r>
              <w:rPr/>
              <w:t>IIoT platform messaging, industrial use cases, product architecture, and AI + industrial data positioning. (</w:t>
            </w:r>
            <w:hyperlink r:id="rId9">
              <w:r>
                <w:rPr>
                  <w:rStyle w:val="InternetLink"/>
                </w:rPr>
                <w:t>PTC</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Particle</w:t>
            </w:r>
          </w:p>
        </w:tc>
        <w:tc>
          <w:tcPr>
            <w:tcW w:w="3370" w:type="dxa"/>
            <w:tcBorders/>
            <w:vAlign w:val="center"/>
          </w:tcPr>
          <w:p>
            <w:pPr>
              <w:pStyle w:val="TableContents"/>
              <w:widowControl w:val="false"/>
              <w:suppressLineNumbers/>
              <w:spacing w:before="0" w:after="160"/>
              <w:rPr/>
            </w:pPr>
            <w:r>
              <w:rPr/>
              <w:t>Strong reference for device fleet management and IoT platform.</w:t>
            </w:r>
          </w:p>
        </w:tc>
        <w:tc>
          <w:tcPr>
            <w:tcW w:w="4621" w:type="dxa"/>
            <w:tcBorders/>
            <w:vAlign w:val="center"/>
          </w:tcPr>
          <w:p>
            <w:pPr>
              <w:pStyle w:val="TableContents"/>
              <w:widowControl w:val="false"/>
              <w:suppressLineNumbers/>
              <w:spacing w:before="0" w:after="160"/>
              <w:rPr/>
            </w:pPr>
            <w:r>
              <w:rPr/>
              <w:t>Device onboarding, developer tools, cloud-device integration, diagnostics, OTA/fleet control language. (</w:t>
            </w:r>
            <w:hyperlink r:id="rId10">
              <w:r>
                <w:rPr>
                  <w:rStyle w:val="InternetLink"/>
                </w:rPr>
                <w:t>Particle</w:t>
              </w:r>
            </w:hyperlink>
            <w:r>
              <w:rPr/>
              <w:t>)</w:t>
            </w:r>
          </w:p>
        </w:tc>
      </w:tr>
      <w:tr>
        <w:trPr/>
        <w:tc>
          <w:tcPr>
            <w:tcW w:w="1369" w:type="dxa"/>
            <w:tcBorders/>
            <w:vAlign w:val="center"/>
          </w:tcPr>
          <w:p>
            <w:pPr>
              <w:pStyle w:val="TableContents"/>
              <w:widowControl w:val="false"/>
              <w:suppressLineNumbers/>
              <w:spacing w:before="0" w:after="160"/>
              <w:rPr/>
            </w:pPr>
            <w:r>
              <w:rPr>
                <w:rStyle w:val="StrongEmphasis"/>
              </w:rPr>
              <w:t>Manhattan Associates</w:t>
            </w:r>
          </w:p>
        </w:tc>
        <w:tc>
          <w:tcPr>
            <w:tcW w:w="3370" w:type="dxa"/>
            <w:tcBorders/>
            <w:vAlign w:val="center"/>
          </w:tcPr>
          <w:p>
            <w:pPr>
              <w:pStyle w:val="TableContents"/>
              <w:widowControl w:val="false"/>
              <w:suppressLineNumbers/>
              <w:spacing w:before="0" w:after="160"/>
              <w:rPr/>
            </w:pPr>
            <w:r>
              <w:rPr/>
              <w:t>Relevant to Throughport WMS.</w:t>
            </w:r>
          </w:p>
        </w:tc>
        <w:tc>
          <w:tcPr>
            <w:tcW w:w="4621" w:type="dxa"/>
            <w:tcBorders/>
            <w:vAlign w:val="center"/>
          </w:tcPr>
          <w:p>
            <w:pPr>
              <w:pStyle w:val="TableContents"/>
              <w:widowControl w:val="false"/>
              <w:suppressLineNumbers/>
              <w:spacing w:before="0" w:after="160"/>
              <w:rPr/>
            </w:pPr>
            <w:r>
              <w:rPr/>
              <w:t>How they present warehouse management, robotics integration, warehouse execution, and operational orchestration. (</w:t>
            </w:r>
            <w:hyperlink r:id="rId11">
              <w:r>
                <w:rPr>
                  <w:rStyle w:val="InternetLink"/>
                </w:rPr>
                <w:t>Manhattan</w:t>
              </w:r>
            </w:hyperlink>
            <w:r>
              <w:rPr/>
              <w:t>)</w:t>
            </w:r>
          </w:p>
        </w:tc>
      </w:tr>
    </w:tbl>
    <w:p>
      <w:pPr>
        <w:pStyle w:val="Heading2"/>
        <w:rPr/>
      </w:pPr>
      <w:r>
        <w:rPr/>
        <w:t>Extended benchmark list by AICORE category</w:t>
      </w:r>
    </w:p>
    <w:p>
      <w:pPr>
        <w:pStyle w:val="Heading3"/>
        <w:rPr/>
      </w:pPr>
      <w:r>
        <w:rPr/>
        <w:t>1. AI tools, AI assistants, and AI business platforms</w:t>
      </w:r>
    </w:p>
    <w:p>
      <w:pPr>
        <w:pStyle w:val="TextBody"/>
        <w:rPr/>
      </w:pPr>
      <w:r>
        <w:rPr/>
        <w:t xml:space="preserve">Study these for </w:t>
      </w:r>
      <w:r>
        <w:rPr>
          <w:rStyle w:val="StrongEmphasis"/>
        </w:rPr>
        <w:t>AI Business Assistant, AI Document Intelligence, AI Workflow Automation Toolkit, and GrowthOS</w:t>
      </w:r>
      <w:r>
        <w:rPr/>
        <w:t>.</w:t>
      </w:r>
    </w:p>
    <w:tbl>
      <w:tblPr>
        <w:tblW w:w="9360" w:type="dxa"/>
        <w:jc w:val="left"/>
        <w:tblInd w:w="0" w:type="dxa"/>
        <w:tblLayout w:type="fixed"/>
        <w:tblCellMar>
          <w:top w:w="28" w:type="dxa"/>
          <w:left w:w="28" w:type="dxa"/>
          <w:bottom w:w="28" w:type="dxa"/>
          <w:right w:w="28" w:type="dxa"/>
        </w:tblCellMar>
      </w:tblPr>
      <w:tblGrid>
        <w:gridCol w:w="1487"/>
        <w:gridCol w:w="3373"/>
        <w:gridCol w:w="4500"/>
      </w:tblGrid>
      <w:tr>
        <w:trPr>
          <w:tblHeader w:val="true"/>
        </w:trPr>
        <w:tc>
          <w:tcPr>
            <w:tcW w:w="1487" w:type="dxa"/>
            <w:tcBorders/>
            <w:vAlign w:val="center"/>
          </w:tcPr>
          <w:p>
            <w:pPr>
              <w:pStyle w:val="TableHeading"/>
              <w:suppressLineNumbers/>
              <w:spacing w:before="0" w:after="160"/>
              <w:jc w:val="center"/>
              <w:rPr/>
            </w:pPr>
            <w:r>
              <w:rPr/>
              <w:t>Company</w:t>
            </w:r>
          </w:p>
        </w:tc>
        <w:tc>
          <w:tcPr>
            <w:tcW w:w="3373" w:type="dxa"/>
            <w:tcBorders/>
            <w:vAlign w:val="center"/>
          </w:tcPr>
          <w:p>
            <w:pPr>
              <w:pStyle w:val="TableHeading"/>
              <w:suppressLineNumbers/>
              <w:spacing w:before="0" w:after="160"/>
              <w:jc w:val="center"/>
              <w:rPr/>
            </w:pPr>
            <w:r>
              <w:rPr/>
              <w:t>AICORE relevance</w:t>
            </w:r>
          </w:p>
        </w:tc>
        <w:tc>
          <w:tcPr>
            <w:tcW w:w="4500" w:type="dxa"/>
            <w:tcBorders/>
            <w:vAlign w:val="center"/>
          </w:tcPr>
          <w:p>
            <w:pPr>
              <w:pStyle w:val="TableHeading"/>
              <w:suppressLineNumbers/>
              <w:spacing w:before="0" w:after="160"/>
              <w:jc w:val="center"/>
              <w:rPr/>
            </w:pPr>
            <w:r>
              <w:rPr/>
              <w:t>Content insight to adapt</w:t>
            </w:r>
          </w:p>
        </w:tc>
      </w:tr>
      <w:tr>
        <w:trPr/>
        <w:tc>
          <w:tcPr>
            <w:tcW w:w="1487" w:type="dxa"/>
            <w:tcBorders/>
            <w:vAlign w:val="center"/>
          </w:tcPr>
          <w:p>
            <w:pPr>
              <w:pStyle w:val="TableContents"/>
              <w:widowControl w:val="false"/>
              <w:suppressLineNumbers/>
              <w:spacing w:before="0" w:after="160"/>
              <w:rPr/>
            </w:pPr>
            <w:r>
              <w:rPr>
                <w:rStyle w:val="StrongEmphasis"/>
              </w:rPr>
              <w:t>Glean</w:t>
            </w:r>
          </w:p>
        </w:tc>
        <w:tc>
          <w:tcPr>
            <w:tcW w:w="3373" w:type="dxa"/>
            <w:tcBorders/>
            <w:vAlign w:val="center"/>
          </w:tcPr>
          <w:p>
            <w:pPr>
              <w:pStyle w:val="TableContents"/>
              <w:widowControl w:val="false"/>
              <w:suppressLineNumbers/>
              <w:spacing w:before="0" w:after="160"/>
              <w:rPr/>
            </w:pPr>
            <w:r>
              <w:rPr/>
              <w:t>Enterprise AI search, internal knowledge assistant, work AI.</w:t>
            </w:r>
          </w:p>
        </w:tc>
        <w:tc>
          <w:tcPr>
            <w:tcW w:w="4500" w:type="dxa"/>
            <w:tcBorders/>
            <w:vAlign w:val="center"/>
          </w:tcPr>
          <w:p>
            <w:pPr>
              <w:pStyle w:val="TableContents"/>
              <w:widowControl w:val="false"/>
              <w:suppressLineNumbers/>
              <w:spacing w:before="0" w:after="160"/>
              <w:rPr/>
            </w:pPr>
            <w:r>
              <w:rPr/>
              <w:t>Strong model for “AI assistant connected to company knowledge.” (</w:t>
            </w:r>
            <w:hyperlink r:id="rId12">
              <w:r>
                <w:rPr>
                  <w:rStyle w:val="InternetLink"/>
                </w:rPr>
                <w:t>Glean</w:t>
              </w:r>
            </w:hyperlink>
            <w:r>
              <w:rPr/>
              <w:t>)</w:t>
            </w:r>
          </w:p>
        </w:tc>
      </w:tr>
      <w:tr>
        <w:trPr/>
        <w:tc>
          <w:tcPr>
            <w:tcW w:w="1487" w:type="dxa"/>
            <w:tcBorders/>
            <w:vAlign w:val="center"/>
          </w:tcPr>
          <w:p>
            <w:pPr>
              <w:pStyle w:val="TableContents"/>
              <w:widowControl w:val="false"/>
              <w:suppressLineNumbers/>
              <w:spacing w:before="0" w:after="160"/>
              <w:rPr/>
            </w:pPr>
            <w:r>
              <w:rPr>
                <w:rStyle w:val="StrongEmphasis"/>
              </w:rPr>
              <w:t>Sierra</w:t>
            </w:r>
          </w:p>
        </w:tc>
        <w:tc>
          <w:tcPr>
            <w:tcW w:w="3373" w:type="dxa"/>
            <w:tcBorders/>
            <w:vAlign w:val="center"/>
          </w:tcPr>
          <w:p>
            <w:pPr>
              <w:pStyle w:val="TableContents"/>
              <w:widowControl w:val="false"/>
              <w:suppressLineNumbers/>
              <w:spacing w:before="0" w:after="160"/>
              <w:rPr/>
            </w:pPr>
            <w:r>
              <w:rPr/>
              <w:t>AI agents for customer experience across chat, SMS, WhatsApp, email, voice, and ChatGPT.</w:t>
            </w:r>
          </w:p>
        </w:tc>
        <w:tc>
          <w:tcPr>
            <w:tcW w:w="4500" w:type="dxa"/>
            <w:tcBorders/>
            <w:vAlign w:val="center"/>
          </w:tcPr>
          <w:p>
            <w:pPr>
              <w:pStyle w:val="TableContents"/>
              <w:widowControl w:val="false"/>
              <w:suppressLineNumbers/>
              <w:spacing w:before="0" w:after="160"/>
              <w:rPr/>
            </w:pPr>
            <w:r>
              <w:rPr/>
              <w:t>Good for AI agent product pages, channel-based AI assistant messaging, and trust/reliability sections. (</w:t>
            </w:r>
            <w:hyperlink r:id="rId13">
              <w:r>
                <w:rPr>
                  <w:rStyle w:val="InternetLink"/>
                </w:rPr>
                <w:t>Sierra</w:t>
              </w:r>
            </w:hyperlink>
            <w:r>
              <w:rPr/>
              <w:t>)</w:t>
            </w:r>
          </w:p>
        </w:tc>
      </w:tr>
      <w:tr>
        <w:trPr/>
        <w:tc>
          <w:tcPr>
            <w:tcW w:w="1487" w:type="dxa"/>
            <w:tcBorders/>
            <w:vAlign w:val="center"/>
          </w:tcPr>
          <w:p>
            <w:pPr>
              <w:pStyle w:val="TableContents"/>
              <w:widowControl w:val="false"/>
              <w:suppressLineNumbers/>
              <w:spacing w:before="0" w:after="160"/>
              <w:rPr/>
            </w:pPr>
            <w:r>
              <w:rPr>
                <w:rStyle w:val="StrongEmphasis"/>
              </w:rPr>
              <w:t>HubSpot Breeze</w:t>
            </w:r>
          </w:p>
        </w:tc>
        <w:tc>
          <w:tcPr>
            <w:tcW w:w="3373" w:type="dxa"/>
            <w:tcBorders/>
            <w:vAlign w:val="center"/>
          </w:tcPr>
          <w:p>
            <w:pPr>
              <w:pStyle w:val="TableContents"/>
              <w:widowControl w:val="false"/>
              <w:suppressLineNumbers/>
              <w:spacing w:before="0" w:after="160"/>
              <w:rPr/>
            </w:pPr>
            <w:r>
              <w:rPr/>
              <w:t>AI assistant and AI agents across marketing, sales, and service.</w:t>
            </w:r>
          </w:p>
        </w:tc>
        <w:tc>
          <w:tcPr>
            <w:tcW w:w="4500" w:type="dxa"/>
            <w:tcBorders/>
            <w:vAlign w:val="center"/>
          </w:tcPr>
          <w:p>
            <w:pPr>
              <w:pStyle w:val="TableContents"/>
              <w:widowControl w:val="false"/>
              <w:suppressLineNumbers/>
              <w:spacing w:before="0" w:after="160"/>
              <w:rPr/>
            </w:pPr>
            <w:r>
              <w:rPr/>
              <w:t>Good model for explaining AI in plain business language. (</w:t>
            </w:r>
            <w:hyperlink r:id="rId14">
              <w:r>
                <w:rPr>
                  <w:rStyle w:val="InternetLink"/>
                </w:rPr>
                <w:t>HubSpot</w:t>
              </w:r>
            </w:hyperlink>
            <w:r>
              <w:rPr/>
              <w:t>)</w:t>
            </w:r>
          </w:p>
        </w:tc>
      </w:tr>
      <w:tr>
        <w:trPr/>
        <w:tc>
          <w:tcPr>
            <w:tcW w:w="1487" w:type="dxa"/>
            <w:tcBorders/>
            <w:vAlign w:val="center"/>
          </w:tcPr>
          <w:p>
            <w:pPr>
              <w:pStyle w:val="TableContents"/>
              <w:widowControl w:val="false"/>
              <w:suppressLineNumbers/>
              <w:spacing w:before="0" w:after="160"/>
              <w:rPr/>
            </w:pPr>
            <w:r>
              <w:rPr>
                <w:rStyle w:val="StrongEmphasis"/>
              </w:rPr>
              <w:t>Salesforce Agentforce</w:t>
            </w:r>
          </w:p>
        </w:tc>
        <w:tc>
          <w:tcPr>
            <w:tcW w:w="3373" w:type="dxa"/>
            <w:tcBorders/>
            <w:vAlign w:val="center"/>
          </w:tcPr>
          <w:p>
            <w:pPr>
              <w:pStyle w:val="TableContents"/>
              <w:widowControl w:val="false"/>
              <w:suppressLineNumbers/>
              <w:spacing w:before="0" w:after="160"/>
              <w:rPr/>
            </w:pPr>
            <w:r>
              <w:rPr/>
              <w:t>AI agents connected to CRM and enterprise workflows.</w:t>
            </w:r>
          </w:p>
        </w:tc>
        <w:tc>
          <w:tcPr>
            <w:tcW w:w="4500" w:type="dxa"/>
            <w:tcBorders/>
            <w:vAlign w:val="center"/>
          </w:tcPr>
          <w:p>
            <w:pPr>
              <w:pStyle w:val="TableContents"/>
              <w:widowControl w:val="false"/>
              <w:suppressLineNumbers/>
              <w:spacing w:before="0" w:after="160"/>
              <w:rPr/>
            </w:pPr>
            <w:r>
              <w:rPr/>
              <w:t>Study their agent-builder, role-based AI agent, and enterprise platform language. (</w:t>
            </w:r>
            <w:hyperlink r:id="rId15">
              <w:r>
                <w:rPr>
                  <w:rStyle w:val="InternetLink"/>
                </w:rPr>
                <w:t>Salesforce</w:t>
              </w:r>
            </w:hyperlink>
            <w:r>
              <w:rPr/>
              <w:t>)</w:t>
            </w:r>
          </w:p>
        </w:tc>
      </w:tr>
      <w:tr>
        <w:trPr/>
        <w:tc>
          <w:tcPr>
            <w:tcW w:w="1487" w:type="dxa"/>
            <w:tcBorders/>
            <w:vAlign w:val="center"/>
          </w:tcPr>
          <w:p>
            <w:pPr>
              <w:pStyle w:val="TableContents"/>
              <w:widowControl w:val="false"/>
              <w:suppressLineNumbers/>
              <w:spacing w:before="0" w:after="160"/>
              <w:rPr/>
            </w:pPr>
            <w:r>
              <w:rPr>
                <w:rStyle w:val="StrongEmphasis"/>
              </w:rPr>
              <w:t>Rossum</w:t>
            </w:r>
          </w:p>
        </w:tc>
        <w:tc>
          <w:tcPr>
            <w:tcW w:w="3373" w:type="dxa"/>
            <w:tcBorders/>
            <w:vAlign w:val="center"/>
          </w:tcPr>
          <w:p>
            <w:pPr>
              <w:pStyle w:val="TableContents"/>
              <w:widowControl w:val="false"/>
              <w:suppressLineNumbers/>
              <w:spacing w:before="0" w:after="160"/>
              <w:rPr/>
            </w:pPr>
            <w:r>
              <w:rPr/>
              <w:t>AI document processing and transactional workflow automation.</w:t>
            </w:r>
          </w:p>
        </w:tc>
        <w:tc>
          <w:tcPr>
            <w:tcW w:w="4500" w:type="dxa"/>
            <w:tcBorders/>
            <w:vAlign w:val="center"/>
          </w:tcPr>
          <w:p>
            <w:pPr>
              <w:pStyle w:val="TableContents"/>
              <w:widowControl w:val="false"/>
              <w:suppressLineNumbers/>
              <w:spacing w:before="0" w:after="160"/>
              <w:rPr/>
            </w:pPr>
            <w:r>
              <w:rPr/>
              <w:t>Useful for AI Document Intelligence page: extraction, validation, approval, exception handling. (</w:t>
            </w:r>
            <w:hyperlink r:id="rId16">
              <w:r>
                <w:rPr>
                  <w:rStyle w:val="InternetLink"/>
                </w:rPr>
                <w:t>Rossum.ai</w:t>
              </w:r>
            </w:hyperlink>
            <w:r>
              <w:rPr/>
              <w:t>)</w:t>
            </w:r>
          </w:p>
        </w:tc>
      </w:tr>
      <w:tr>
        <w:trPr/>
        <w:tc>
          <w:tcPr>
            <w:tcW w:w="1487" w:type="dxa"/>
            <w:tcBorders/>
            <w:vAlign w:val="center"/>
          </w:tcPr>
          <w:p>
            <w:pPr>
              <w:pStyle w:val="TableContents"/>
              <w:widowControl w:val="false"/>
              <w:suppressLineNumbers/>
              <w:spacing w:before="0" w:after="160"/>
              <w:rPr/>
            </w:pPr>
            <w:r>
              <w:rPr>
                <w:rStyle w:val="StrongEmphasis"/>
              </w:rPr>
              <w:t>ABBYY</w:t>
            </w:r>
          </w:p>
        </w:tc>
        <w:tc>
          <w:tcPr>
            <w:tcW w:w="3373" w:type="dxa"/>
            <w:tcBorders/>
            <w:vAlign w:val="center"/>
          </w:tcPr>
          <w:p>
            <w:pPr>
              <w:pStyle w:val="TableContents"/>
              <w:widowControl w:val="false"/>
              <w:suppressLineNumbers/>
              <w:spacing w:before="0" w:after="160"/>
              <w:rPr/>
            </w:pPr>
            <w:r>
              <w:rPr/>
              <w:t>Intelligent document processing and AI-based extraction.</w:t>
            </w:r>
          </w:p>
        </w:tc>
        <w:tc>
          <w:tcPr>
            <w:tcW w:w="4500" w:type="dxa"/>
            <w:tcBorders/>
            <w:vAlign w:val="center"/>
          </w:tcPr>
          <w:p>
            <w:pPr>
              <w:pStyle w:val="TableContents"/>
              <w:widowControl w:val="false"/>
              <w:suppressLineNumbers/>
              <w:spacing w:before="0" w:after="160"/>
              <w:rPr/>
            </w:pPr>
            <w:r>
              <w:rPr/>
              <w:t>Useful for document AI credibility and enterprise document-processing language. (</w:t>
            </w:r>
            <w:hyperlink r:id="rId17">
              <w:r>
                <w:rPr>
                  <w:rStyle w:val="InternetLink"/>
                </w:rPr>
                <w:t>ABBYY</w:t>
              </w:r>
            </w:hyperlink>
            <w:r>
              <w:rPr/>
              <w:t>)</w:t>
            </w:r>
          </w:p>
        </w:tc>
      </w:tr>
    </w:tbl>
    <w:p>
      <w:pPr>
        <w:pStyle w:val="Heading3"/>
        <w:rPr/>
      </w:pPr>
      <w:r>
        <w:rPr/>
        <w:t>2. Business automation, workflow automation, and GrowthOS-style platforms</w:t>
      </w:r>
    </w:p>
    <w:p>
      <w:pPr>
        <w:pStyle w:val="TextBody"/>
        <w:rPr/>
      </w:pPr>
      <w:r>
        <w:rPr/>
        <w:t xml:space="preserve">Study these for </w:t>
      </w:r>
      <w:r>
        <w:rPr>
          <w:rStyle w:val="StrongEmphasis"/>
        </w:rPr>
        <w:t>GrowthOS, process automation, outreach automation, content planning, AI workflow automation, and internal operating systems</w:t>
      </w:r>
      <w:r>
        <w:rPr/>
        <w:t>.</w:t>
      </w:r>
    </w:p>
    <w:tbl>
      <w:tblPr>
        <w:tblW w:w="9360" w:type="dxa"/>
        <w:jc w:val="left"/>
        <w:tblInd w:w="0" w:type="dxa"/>
        <w:tblLayout w:type="fixed"/>
        <w:tblCellMar>
          <w:top w:w="28" w:type="dxa"/>
          <w:left w:w="28" w:type="dxa"/>
          <w:bottom w:w="28" w:type="dxa"/>
          <w:right w:w="28" w:type="dxa"/>
        </w:tblCellMar>
      </w:tblPr>
      <w:tblGrid>
        <w:gridCol w:w="1060"/>
        <w:gridCol w:w="3689"/>
        <w:gridCol w:w="4611"/>
      </w:tblGrid>
      <w:tr>
        <w:trPr>
          <w:tblHeader w:val="true"/>
        </w:trPr>
        <w:tc>
          <w:tcPr>
            <w:tcW w:w="1060" w:type="dxa"/>
            <w:tcBorders/>
            <w:vAlign w:val="center"/>
          </w:tcPr>
          <w:p>
            <w:pPr>
              <w:pStyle w:val="TableHeading"/>
              <w:suppressLineNumbers/>
              <w:spacing w:before="0" w:after="160"/>
              <w:jc w:val="center"/>
              <w:rPr/>
            </w:pPr>
            <w:r>
              <w:rPr/>
              <w:t>Company</w:t>
            </w:r>
          </w:p>
        </w:tc>
        <w:tc>
          <w:tcPr>
            <w:tcW w:w="3689" w:type="dxa"/>
            <w:tcBorders/>
            <w:vAlign w:val="center"/>
          </w:tcPr>
          <w:p>
            <w:pPr>
              <w:pStyle w:val="TableHeading"/>
              <w:suppressLineNumbers/>
              <w:spacing w:before="0" w:after="160"/>
              <w:jc w:val="center"/>
              <w:rPr/>
            </w:pPr>
            <w:r>
              <w:rPr/>
              <w:t>AICORE relevance</w:t>
            </w:r>
          </w:p>
        </w:tc>
        <w:tc>
          <w:tcPr>
            <w:tcW w:w="4611" w:type="dxa"/>
            <w:tcBorders/>
            <w:vAlign w:val="center"/>
          </w:tcPr>
          <w:p>
            <w:pPr>
              <w:pStyle w:val="TableHeading"/>
              <w:suppressLineNumbers/>
              <w:spacing w:before="0" w:after="160"/>
              <w:jc w:val="center"/>
              <w:rPr/>
            </w:pPr>
            <w:r>
              <w:rPr/>
              <w:t>Content insight to adapt</w:t>
            </w:r>
          </w:p>
        </w:tc>
      </w:tr>
      <w:tr>
        <w:trPr/>
        <w:tc>
          <w:tcPr>
            <w:tcW w:w="1060" w:type="dxa"/>
            <w:tcBorders/>
            <w:vAlign w:val="center"/>
          </w:tcPr>
          <w:p>
            <w:pPr>
              <w:pStyle w:val="TableContents"/>
              <w:widowControl w:val="false"/>
              <w:suppressLineNumbers/>
              <w:spacing w:before="0" w:after="160"/>
              <w:rPr/>
            </w:pPr>
            <w:r>
              <w:rPr>
                <w:rStyle w:val="StrongEmphasis"/>
              </w:rPr>
              <w:t>UiPath</w:t>
            </w:r>
          </w:p>
        </w:tc>
        <w:tc>
          <w:tcPr>
            <w:tcW w:w="3689" w:type="dxa"/>
            <w:tcBorders/>
            <w:vAlign w:val="center"/>
          </w:tcPr>
          <w:p>
            <w:pPr>
              <w:pStyle w:val="TableContents"/>
              <w:widowControl w:val="false"/>
              <w:suppressLineNumbers/>
              <w:spacing w:before="0" w:after="160"/>
              <w:rPr/>
            </w:pPr>
            <w:r>
              <w:rPr/>
              <w:t>Enterprise automation, agentic automation, AI + robots + people.</w:t>
            </w:r>
          </w:p>
        </w:tc>
        <w:tc>
          <w:tcPr>
            <w:tcW w:w="4611" w:type="dxa"/>
            <w:tcBorders/>
            <w:vAlign w:val="center"/>
          </w:tcPr>
          <w:p>
            <w:pPr>
              <w:pStyle w:val="TableContents"/>
              <w:widowControl w:val="false"/>
              <w:suppressLineNumbers/>
              <w:spacing w:before="0" w:after="160"/>
              <w:rPr/>
            </w:pPr>
            <w:r>
              <w:rPr/>
              <w:t>How to present automation as end-to-end business transformation. (</w:t>
            </w:r>
            <w:hyperlink r:id="rId18">
              <w:r>
                <w:rPr>
                  <w:rStyle w:val="InternetLink"/>
                </w:rPr>
                <w:t>UiPath</w:t>
              </w:r>
            </w:hyperlink>
            <w:r>
              <w:rPr/>
              <w:t>)</w:t>
            </w:r>
          </w:p>
        </w:tc>
      </w:tr>
      <w:tr>
        <w:trPr/>
        <w:tc>
          <w:tcPr>
            <w:tcW w:w="1060" w:type="dxa"/>
            <w:tcBorders/>
            <w:vAlign w:val="center"/>
          </w:tcPr>
          <w:p>
            <w:pPr>
              <w:pStyle w:val="TableContents"/>
              <w:widowControl w:val="false"/>
              <w:suppressLineNumbers/>
              <w:spacing w:before="0" w:after="160"/>
              <w:rPr/>
            </w:pPr>
            <w:r>
              <w:rPr>
                <w:rStyle w:val="StrongEmphasis"/>
              </w:rPr>
              <w:t>Zapier</w:t>
            </w:r>
          </w:p>
        </w:tc>
        <w:tc>
          <w:tcPr>
            <w:tcW w:w="3689" w:type="dxa"/>
            <w:tcBorders/>
            <w:vAlign w:val="center"/>
          </w:tcPr>
          <w:p>
            <w:pPr>
              <w:pStyle w:val="TableContents"/>
              <w:widowControl w:val="false"/>
              <w:suppressLineNumbers/>
              <w:spacing w:before="0" w:after="160"/>
              <w:rPr/>
            </w:pPr>
            <w:r>
              <w:rPr/>
              <w:t>AI workflows, agents, app automation, no-code automation.</w:t>
            </w:r>
          </w:p>
        </w:tc>
        <w:tc>
          <w:tcPr>
            <w:tcW w:w="4611" w:type="dxa"/>
            <w:tcBorders/>
            <w:vAlign w:val="center"/>
          </w:tcPr>
          <w:p>
            <w:pPr>
              <w:pStyle w:val="TableContents"/>
              <w:widowControl w:val="false"/>
              <w:suppressLineNumbers/>
              <w:spacing w:before="0" w:after="160"/>
              <w:rPr/>
            </w:pPr>
            <w:r>
              <w:rPr/>
              <w:t>Clear, simple language for non-technical SMEs. (</w:t>
            </w:r>
            <w:hyperlink r:id="rId19">
              <w:r>
                <w:rPr>
                  <w:rStyle w:val="InternetLink"/>
                </w:rPr>
                <w:t>Zapier</w:t>
              </w:r>
            </w:hyperlink>
            <w:r>
              <w:rPr/>
              <w:t>)</w:t>
            </w:r>
          </w:p>
        </w:tc>
      </w:tr>
      <w:tr>
        <w:trPr/>
        <w:tc>
          <w:tcPr>
            <w:tcW w:w="1060" w:type="dxa"/>
            <w:tcBorders/>
            <w:vAlign w:val="center"/>
          </w:tcPr>
          <w:p>
            <w:pPr>
              <w:pStyle w:val="TableContents"/>
              <w:widowControl w:val="false"/>
              <w:suppressLineNumbers/>
              <w:spacing w:before="0" w:after="160"/>
              <w:rPr/>
            </w:pPr>
            <w:r>
              <w:rPr>
                <w:rStyle w:val="StrongEmphasis"/>
              </w:rPr>
              <w:t>Make</w:t>
            </w:r>
          </w:p>
        </w:tc>
        <w:tc>
          <w:tcPr>
            <w:tcW w:w="3689" w:type="dxa"/>
            <w:tcBorders/>
            <w:vAlign w:val="center"/>
          </w:tcPr>
          <w:p>
            <w:pPr>
              <w:pStyle w:val="TableContents"/>
              <w:widowControl w:val="false"/>
              <w:suppressLineNumbers/>
              <w:spacing w:before="0" w:after="160"/>
              <w:rPr/>
            </w:pPr>
            <w:r>
              <w:rPr/>
              <w:t>Visual automation, AI agents, app/data/model integration.</w:t>
            </w:r>
          </w:p>
        </w:tc>
        <w:tc>
          <w:tcPr>
            <w:tcW w:w="4611" w:type="dxa"/>
            <w:tcBorders/>
            <w:vAlign w:val="center"/>
          </w:tcPr>
          <w:p>
            <w:pPr>
              <w:pStyle w:val="TableContents"/>
              <w:widowControl w:val="false"/>
              <w:suppressLineNumbers/>
              <w:spacing w:before="0" w:after="160"/>
              <w:rPr/>
            </w:pPr>
            <w:r>
              <w:rPr/>
              <w:t>Visual workflow storytelling and “connect any app/data/model” style messaging. (</w:t>
            </w:r>
            <w:hyperlink r:id="rId20">
              <w:r>
                <w:rPr>
                  <w:rStyle w:val="InternetLink"/>
                </w:rPr>
                <w:t>Make</w:t>
              </w:r>
            </w:hyperlink>
            <w:r>
              <w:rPr/>
              <w:t>)</w:t>
            </w:r>
          </w:p>
        </w:tc>
      </w:tr>
      <w:tr>
        <w:trPr/>
        <w:tc>
          <w:tcPr>
            <w:tcW w:w="1060" w:type="dxa"/>
            <w:tcBorders/>
            <w:vAlign w:val="center"/>
          </w:tcPr>
          <w:p>
            <w:pPr>
              <w:pStyle w:val="TableContents"/>
              <w:widowControl w:val="false"/>
              <w:suppressLineNumbers/>
              <w:spacing w:before="0" w:after="160"/>
              <w:rPr/>
            </w:pPr>
            <w:r>
              <w:rPr>
                <w:rStyle w:val="StrongEmphasis"/>
              </w:rPr>
              <w:t>n8n</w:t>
            </w:r>
          </w:p>
        </w:tc>
        <w:tc>
          <w:tcPr>
            <w:tcW w:w="3689" w:type="dxa"/>
            <w:tcBorders/>
            <w:vAlign w:val="center"/>
          </w:tcPr>
          <w:p>
            <w:pPr>
              <w:pStyle w:val="TableContents"/>
              <w:widowControl w:val="false"/>
              <w:suppressLineNumbers/>
              <w:spacing w:before="0" w:after="160"/>
              <w:rPr/>
            </w:pPr>
            <w:r>
              <w:rPr/>
              <w:t>Developer-friendly AI automation and workflow orchestration.</w:t>
            </w:r>
          </w:p>
        </w:tc>
        <w:tc>
          <w:tcPr>
            <w:tcW w:w="4611" w:type="dxa"/>
            <w:tcBorders/>
            <w:vAlign w:val="center"/>
          </w:tcPr>
          <w:p>
            <w:pPr>
              <w:pStyle w:val="TableContents"/>
              <w:widowControl w:val="false"/>
              <w:suppressLineNumbers/>
              <w:spacing w:before="0" w:after="160"/>
              <w:rPr/>
            </w:pPr>
            <w:r>
              <w:rPr/>
              <w:t>Excellent for GrowthOS backend automation and visible workflow logic inspiration. (</w:t>
            </w:r>
            <w:hyperlink r:id="rId21">
              <w:r>
                <w:rPr>
                  <w:rStyle w:val="InternetLink"/>
                </w:rPr>
                <w:t>n8n</w:t>
              </w:r>
            </w:hyperlink>
            <w:r>
              <w:rPr/>
              <w:t>)</w:t>
            </w:r>
          </w:p>
        </w:tc>
      </w:tr>
      <w:tr>
        <w:trPr/>
        <w:tc>
          <w:tcPr>
            <w:tcW w:w="1060" w:type="dxa"/>
            <w:tcBorders/>
            <w:vAlign w:val="center"/>
          </w:tcPr>
          <w:p>
            <w:pPr>
              <w:pStyle w:val="TableContents"/>
              <w:widowControl w:val="false"/>
              <w:suppressLineNumbers/>
              <w:spacing w:before="0" w:after="160"/>
              <w:rPr/>
            </w:pPr>
            <w:r>
              <w:rPr>
                <w:rStyle w:val="StrongEmphasis"/>
              </w:rPr>
              <w:t>Clay</w:t>
            </w:r>
          </w:p>
        </w:tc>
        <w:tc>
          <w:tcPr>
            <w:tcW w:w="3689" w:type="dxa"/>
            <w:tcBorders/>
            <w:vAlign w:val="center"/>
          </w:tcPr>
          <w:p>
            <w:pPr>
              <w:pStyle w:val="TableContents"/>
              <w:widowControl w:val="false"/>
              <w:suppressLineNumbers/>
              <w:spacing w:before="0" w:after="160"/>
              <w:rPr/>
            </w:pPr>
            <w:r>
              <w:rPr/>
              <w:t>AI lead enrichment and growth workflows.</w:t>
            </w:r>
          </w:p>
        </w:tc>
        <w:tc>
          <w:tcPr>
            <w:tcW w:w="4611" w:type="dxa"/>
            <w:tcBorders/>
            <w:vAlign w:val="center"/>
          </w:tcPr>
          <w:p>
            <w:pPr>
              <w:pStyle w:val="TableContents"/>
              <w:widowControl w:val="false"/>
              <w:suppressLineNumbers/>
              <w:spacing w:before="0" w:after="160"/>
              <w:rPr/>
            </w:pPr>
            <w:r>
              <w:rPr/>
              <w:t>Very relevant to GrowthOS lead intelligence, service matching, and outreach preparation. (</w:t>
            </w:r>
            <w:hyperlink r:id="rId22">
              <w:r>
                <w:rPr>
                  <w:rStyle w:val="InternetLink"/>
                </w:rPr>
                <w:t>Clay</w:t>
              </w:r>
            </w:hyperlink>
            <w:r>
              <w:rPr/>
              <w:t>)</w:t>
            </w:r>
          </w:p>
        </w:tc>
      </w:tr>
      <w:tr>
        <w:trPr/>
        <w:tc>
          <w:tcPr>
            <w:tcW w:w="1060" w:type="dxa"/>
            <w:tcBorders/>
            <w:vAlign w:val="center"/>
          </w:tcPr>
          <w:p>
            <w:pPr>
              <w:pStyle w:val="TableContents"/>
              <w:widowControl w:val="false"/>
              <w:suppressLineNumbers/>
              <w:spacing w:before="0" w:after="160"/>
              <w:rPr/>
            </w:pPr>
            <w:r>
              <w:rPr>
                <w:rStyle w:val="StrongEmphasis"/>
              </w:rPr>
              <w:t>Apollo.io</w:t>
            </w:r>
          </w:p>
        </w:tc>
        <w:tc>
          <w:tcPr>
            <w:tcW w:w="3689" w:type="dxa"/>
            <w:tcBorders/>
            <w:vAlign w:val="center"/>
          </w:tcPr>
          <w:p>
            <w:pPr>
              <w:pStyle w:val="TableContents"/>
              <w:widowControl w:val="false"/>
              <w:suppressLineNumbers/>
              <w:spacing w:before="0" w:after="160"/>
              <w:rPr/>
            </w:pPr>
            <w:r>
              <w:rPr/>
              <w:t>AI sales platform, prospecting, lead gen, deal automation, outreach.</w:t>
            </w:r>
          </w:p>
        </w:tc>
        <w:tc>
          <w:tcPr>
            <w:tcW w:w="4611" w:type="dxa"/>
            <w:tcBorders/>
            <w:vAlign w:val="center"/>
          </w:tcPr>
          <w:p>
            <w:pPr>
              <w:pStyle w:val="TableContents"/>
              <w:widowControl w:val="false"/>
              <w:suppressLineNumbers/>
              <w:spacing w:before="0" w:after="160"/>
              <w:rPr/>
            </w:pPr>
            <w:r>
              <w:rPr/>
              <w:t>Useful for GrowthOS lead discovery, engagement, pipeline, and outreach page language. (</w:t>
            </w:r>
            <w:hyperlink r:id="rId23">
              <w:r>
                <w:rPr>
                  <w:rStyle w:val="InternetLink"/>
                </w:rPr>
                <w:t>Apollo</w:t>
              </w:r>
            </w:hyperlink>
            <w:r>
              <w:rPr/>
              <w:t>)</w:t>
            </w:r>
          </w:p>
        </w:tc>
      </w:tr>
    </w:tbl>
    <w:p>
      <w:pPr>
        <w:pStyle w:val="Heading3"/>
        <w:rPr/>
      </w:pPr>
      <w:r>
        <w:rPr/>
        <w:t>3. Embedded, IoT, firmware, edge AI, and device platforms</w:t>
      </w:r>
    </w:p>
    <w:p>
      <w:pPr>
        <w:pStyle w:val="TextBody"/>
        <w:rPr/>
      </w:pPr>
      <w:r>
        <w:rPr/>
        <w:t xml:space="preserve">Study these for </w:t>
      </w:r>
      <w:r>
        <w:rPr>
          <w:rStyle w:val="StrongEmphasis"/>
        </w:rPr>
        <w:t>Embedded, IoT &amp; Edge AI Systems</w:t>
      </w:r>
      <w:r>
        <w:rPr/>
        <w:t xml:space="preserve">, </w:t>
      </w:r>
      <w:r>
        <w:rPr>
          <w:rStyle w:val="StrongEmphasis"/>
        </w:rPr>
        <w:t>IoT Monitoring Platform</w:t>
      </w:r>
      <w:r>
        <w:rPr/>
        <w:t xml:space="preserve">, </w:t>
      </w:r>
      <w:r>
        <w:rPr>
          <w:rStyle w:val="StrongEmphasis"/>
        </w:rPr>
        <w:t>Device Fleet Management</w:t>
      </w:r>
      <w:r>
        <w:rPr/>
        <w:t xml:space="preserve">, </w:t>
      </w:r>
      <w:r>
        <w:rPr>
          <w:rStyle w:val="StrongEmphasis"/>
        </w:rPr>
        <w:t>Edge AI/Computer Vision</w:t>
      </w:r>
      <w:r>
        <w:rPr/>
        <w:t xml:space="preserve">, and </w:t>
      </w:r>
      <w:r>
        <w:rPr>
          <w:rStyle w:val="StrongEmphasis"/>
        </w:rPr>
        <w:t>firmware testing tools</w:t>
      </w:r>
      <w:r>
        <w:rPr/>
        <w:t>.</w:t>
      </w:r>
    </w:p>
    <w:tbl>
      <w:tblPr>
        <w:tblW w:w="9360" w:type="dxa"/>
        <w:jc w:val="left"/>
        <w:tblInd w:w="0" w:type="dxa"/>
        <w:tblLayout w:type="fixed"/>
        <w:tblCellMar>
          <w:top w:w="28" w:type="dxa"/>
          <w:left w:w="28" w:type="dxa"/>
          <w:bottom w:w="28" w:type="dxa"/>
          <w:right w:w="28" w:type="dxa"/>
        </w:tblCellMar>
      </w:tblPr>
      <w:tblGrid>
        <w:gridCol w:w="1812"/>
        <w:gridCol w:w="3130"/>
        <w:gridCol w:w="4418"/>
      </w:tblGrid>
      <w:tr>
        <w:trPr>
          <w:tblHeader w:val="true"/>
        </w:trPr>
        <w:tc>
          <w:tcPr>
            <w:tcW w:w="1812" w:type="dxa"/>
            <w:tcBorders/>
            <w:vAlign w:val="center"/>
          </w:tcPr>
          <w:p>
            <w:pPr>
              <w:pStyle w:val="TableHeading"/>
              <w:suppressLineNumbers/>
              <w:spacing w:before="0" w:after="160"/>
              <w:jc w:val="center"/>
              <w:rPr/>
            </w:pPr>
            <w:r>
              <w:rPr/>
              <w:t>Company</w:t>
            </w:r>
          </w:p>
        </w:tc>
        <w:tc>
          <w:tcPr>
            <w:tcW w:w="3130" w:type="dxa"/>
            <w:tcBorders/>
            <w:vAlign w:val="center"/>
          </w:tcPr>
          <w:p>
            <w:pPr>
              <w:pStyle w:val="TableHeading"/>
              <w:suppressLineNumbers/>
              <w:spacing w:before="0" w:after="160"/>
              <w:jc w:val="center"/>
              <w:rPr/>
            </w:pPr>
            <w:r>
              <w:rPr/>
              <w:t>AICORE relevance</w:t>
            </w:r>
          </w:p>
        </w:tc>
        <w:tc>
          <w:tcPr>
            <w:tcW w:w="4418" w:type="dxa"/>
            <w:tcBorders/>
            <w:vAlign w:val="center"/>
          </w:tcPr>
          <w:p>
            <w:pPr>
              <w:pStyle w:val="TableHeading"/>
              <w:suppressLineNumbers/>
              <w:spacing w:before="0" w:after="160"/>
              <w:jc w:val="center"/>
              <w:rPr/>
            </w:pPr>
            <w:r>
              <w:rPr/>
              <w:t>Content insight to adapt</w:t>
            </w:r>
          </w:p>
        </w:tc>
      </w:tr>
      <w:tr>
        <w:trPr/>
        <w:tc>
          <w:tcPr>
            <w:tcW w:w="1812" w:type="dxa"/>
            <w:tcBorders/>
            <w:vAlign w:val="center"/>
          </w:tcPr>
          <w:p>
            <w:pPr>
              <w:pStyle w:val="TableContents"/>
              <w:widowControl w:val="false"/>
              <w:suppressLineNumbers/>
              <w:spacing w:before="0" w:after="160"/>
              <w:rPr/>
            </w:pPr>
            <w:r>
              <w:rPr>
                <w:rStyle w:val="StrongEmphasis"/>
              </w:rPr>
              <w:t>Softeq</w:t>
            </w:r>
          </w:p>
        </w:tc>
        <w:tc>
          <w:tcPr>
            <w:tcW w:w="3130" w:type="dxa"/>
            <w:tcBorders/>
            <w:vAlign w:val="center"/>
          </w:tcPr>
          <w:p>
            <w:pPr>
              <w:pStyle w:val="TableContents"/>
              <w:widowControl w:val="false"/>
              <w:suppressLineNumbers/>
              <w:spacing w:before="0" w:after="160"/>
              <w:rPr/>
            </w:pPr>
            <w:r>
              <w:rPr/>
              <w:t>Embedded systems, firmware, edge AI, IoT, robotics, industrial automation.</w:t>
            </w:r>
          </w:p>
        </w:tc>
        <w:tc>
          <w:tcPr>
            <w:tcW w:w="4418" w:type="dxa"/>
            <w:tcBorders/>
            <w:vAlign w:val="center"/>
          </w:tcPr>
          <w:p>
            <w:pPr>
              <w:pStyle w:val="TableContents"/>
              <w:widowControl w:val="false"/>
              <w:suppressLineNumbers/>
              <w:spacing w:before="0" w:after="160"/>
              <w:rPr/>
            </w:pPr>
            <w:r>
              <w:rPr/>
              <w:t>Closest all-round benchmark for AICORE’s software + hardware + AI identity. (</w:t>
            </w:r>
            <w:hyperlink r:id="rId24">
              <w:r>
                <w:rPr>
                  <w:rStyle w:val="InternetLink"/>
                </w:rPr>
                <w:t>softeq.com</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Very</w:t>
            </w:r>
          </w:p>
        </w:tc>
        <w:tc>
          <w:tcPr>
            <w:tcW w:w="3130" w:type="dxa"/>
            <w:tcBorders/>
            <w:vAlign w:val="center"/>
          </w:tcPr>
          <w:p>
            <w:pPr>
              <w:pStyle w:val="TableContents"/>
              <w:widowControl w:val="false"/>
              <w:suppressLineNumbers/>
              <w:spacing w:before="0" w:after="160"/>
              <w:rPr/>
            </w:pPr>
            <w:r>
              <w:rPr/>
              <w:t>IoT product development and AI-powered enterprise platforms.</w:t>
            </w:r>
          </w:p>
        </w:tc>
        <w:tc>
          <w:tcPr>
            <w:tcW w:w="4418" w:type="dxa"/>
            <w:tcBorders/>
            <w:vAlign w:val="center"/>
          </w:tcPr>
          <w:p>
            <w:pPr>
              <w:pStyle w:val="TableContents"/>
              <w:widowControl w:val="false"/>
              <w:suppressLineNumbers/>
              <w:spacing w:before="0" w:after="160"/>
              <w:rPr/>
            </w:pPr>
            <w:r>
              <w:rPr/>
              <w:t>Strong product-development lifecycle: roadmap → PoC → prototype → launch. (</w:t>
            </w:r>
            <w:hyperlink r:id="rId25">
              <w:r>
                <w:rPr>
                  <w:rStyle w:val="InternetLink"/>
                </w:rPr>
                <w:t>Very</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Andersen</w:t>
            </w:r>
          </w:p>
        </w:tc>
        <w:tc>
          <w:tcPr>
            <w:tcW w:w="3130" w:type="dxa"/>
            <w:tcBorders/>
            <w:vAlign w:val="center"/>
          </w:tcPr>
          <w:p>
            <w:pPr>
              <w:pStyle w:val="TableContents"/>
              <w:widowControl w:val="false"/>
              <w:suppressLineNumbers/>
              <w:spacing w:before="0" w:after="160"/>
              <w:rPr/>
            </w:pPr>
            <w:r>
              <w:rPr/>
              <w:t>IoT software, intelligent devices, sensors, bespoke platforms, firmware.</w:t>
            </w:r>
          </w:p>
        </w:tc>
        <w:tc>
          <w:tcPr>
            <w:tcW w:w="4418" w:type="dxa"/>
            <w:tcBorders/>
            <w:vAlign w:val="center"/>
          </w:tcPr>
          <w:p>
            <w:pPr>
              <w:pStyle w:val="TableContents"/>
              <w:widowControl w:val="false"/>
              <w:suppressLineNumbers/>
              <w:spacing w:before="0" w:after="160"/>
              <w:rPr/>
            </w:pPr>
            <w:r>
              <w:rPr/>
              <w:t>Useful for service page wording around IoT consulting + implementation. (</w:t>
            </w:r>
            <w:hyperlink r:id="rId26">
              <w:r>
                <w:rPr>
                  <w:rStyle w:val="InternetLink"/>
                </w:rPr>
                <w:t>Andersen</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Advantech</w:t>
            </w:r>
          </w:p>
        </w:tc>
        <w:tc>
          <w:tcPr>
            <w:tcW w:w="3130" w:type="dxa"/>
            <w:tcBorders/>
            <w:vAlign w:val="center"/>
          </w:tcPr>
          <w:p>
            <w:pPr>
              <w:pStyle w:val="TableContents"/>
              <w:widowControl w:val="false"/>
              <w:suppressLineNumbers/>
              <w:spacing w:before="0" w:after="160"/>
              <w:rPr/>
            </w:pPr>
            <w:r>
              <w:rPr/>
              <w:t>Industrial IoT, gateways, industrial PCs, edge AI systems.</w:t>
            </w:r>
          </w:p>
        </w:tc>
        <w:tc>
          <w:tcPr>
            <w:tcW w:w="4418" w:type="dxa"/>
            <w:tcBorders/>
            <w:vAlign w:val="center"/>
          </w:tcPr>
          <w:p>
            <w:pPr>
              <w:pStyle w:val="TableContents"/>
              <w:widowControl w:val="false"/>
              <w:suppressLineNumbers/>
              <w:spacing w:before="0" w:after="160"/>
              <w:rPr/>
            </w:pPr>
            <w:r>
              <w:rPr/>
              <w:t>Excellent for hardware/industrial visuals and edge AI industrial use cases. (</w:t>
            </w:r>
            <w:hyperlink r:id="rId27">
              <w:r>
                <w:rPr>
                  <w:rStyle w:val="InternetLink"/>
                </w:rPr>
                <w:t>Advantech</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AWS IoT Device Management</w:t>
            </w:r>
          </w:p>
        </w:tc>
        <w:tc>
          <w:tcPr>
            <w:tcW w:w="3130" w:type="dxa"/>
            <w:tcBorders/>
            <w:vAlign w:val="center"/>
          </w:tcPr>
          <w:p>
            <w:pPr>
              <w:pStyle w:val="TableContents"/>
              <w:widowControl w:val="false"/>
              <w:suppressLineNumbers/>
              <w:spacing w:before="0" w:after="160"/>
              <w:rPr/>
            </w:pPr>
            <w:r>
              <w:rPr/>
              <w:t>Device onboarding, fleet indexing, logging, remote commands, OTA jobs.</w:t>
            </w:r>
          </w:p>
        </w:tc>
        <w:tc>
          <w:tcPr>
            <w:tcW w:w="4418" w:type="dxa"/>
            <w:tcBorders/>
            <w:vAlign w:val="center"/>
          </w:tcPr>
          <w:p>
            <w:pPr>
              <w:pStyle w:val="TableContents"/>
              <w:widowControl w:val="false"/>
              <w:suppressLineNumbers/>
              <w:spacing w:before="0" w:after="160"/>
              <w:rPr/>
            </w:pPr>
            <w:r>
              <w:rPr/>
              <w:t>Strong reference for AICORE’s future device fleet management platform. (</w:t>
            </w:r>
            <w:hyperlink r:id="rId28">
              <w:r>
                <w:rPr>
                  <w:rStyle w:val="InternetLink"/>
                </w:rPr>
                <w:t>Amazon Web Services, Inc.</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Azure IoT Operations</w:t>
            </w:r>
          </w:p>
        </w:tc>
        <w:tc>
          <w:tcPr>
            <w:tcW w:w="3130" w:type="dxa"/>
            <w:tcBorders/>
            <w:vAlign w:val="center"/>
          </w:tcPr>
          <w:p>
            <w:pPr>
              <w:pStyle w:val="TableContents"/>
              <w:widowControl w:val="false"/>
              <w:suppressLineNumbers/>
              <w:spacing w:before="0" w:after="160"/>
              <w:rPr/>
            </w:pPr>
            <w:r>
              <w:rPr/>
              <w:t>Edge-to-cloud industrial IoT data processing.</w:t>
            </w:r>
          </w:p>
        </w:tc>
        <w:tc>
          <w:tcPr>
            <w:tcW w:w="4418" w:type="dxa"/>
            <w:tcBorders/>
            <w:vAlign w:val="center"/>
          </w:tcPr>
          <w:p>
            <w:pPr>
              <w:pStyle w:val="TableContents"/>
              <w:widowControl w:val="false"/>
              <w:suppressLineNumbers/>
              <w:spacing w:before="0" w:after="160"/>
              <w:rPr/>
            </w:pPr>
            <w:r>
              <w:rPr/>
              <w:t>Useful for edge/cloud architecture language and industrial IoT positioning. (</w:t>
            </w:r>
            <w:hyperlink r:id="rId29">
              <w:r>
                <w:rPr>
                  <w:rStyle w:val="InternetLink"/>
                </w:rPr>
                <w:t>Microsoft Azure</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Particle</w:t>
            </w:r>
          </w:p>
        </w:tc>
        <w:tc>
          <w:tcPr>
            <w:tcW w:w="3130" w:type="dxa"/>
            <w:tcBorders/>
            <w:vAlign w:val="center"/>
          </w:tcPr>
          <w:p>
            <w:pPr>
              <w:pStyle w:val="TableContents"/>
              <w:widowControl w:val="false"/>
              <w:suppressLineNumbers/>
              <w:spacing w:before="0" w:after="160"/>
              <w:rPr/>
            </w:pPr>
            <w:r>
              <w:rPr/>
              <w:t>Developer-friendly IoT platform spanning devices and cloud.</w:t>
            </w:r>
          </w:p>
        </w:tc>
        <w:tc>
          <w:tcPr>
            <w:tcW w:w="4418" w:type="dxa"/>
            <w:tcBorders/>
            <w:vAlign w:val="center"/>
          </w:tcPr>
          <w:p>
            <w:pPr>
              <w:pStyle w:val="TableContents"/>
              <w:widowControl w:val="false"/>
              <w:suppressLineNumbers/>
              <w:spacing w:before="0" w:after="160"/>
              <w:rPr/>
            </w:pPr>
            <w:r>
              <w:rPr/>
              <w:t>Study developer experience, hardware-cloud integration, diagnostics, and device platform positioning. (</w:t>
            </w:r>
            <w:hyperlink r:id="rId30">
              <w:r>
                <w:rPr>
                  <w:rStyle w:val="InternetLink"/>
                </w:rPr>
                <w:t>Particle</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Datacake</w:t>
            </w:r>
          </w:p>
        </w:tc>
        <w:tc>
          <w:tcPr>
            <w:tcW w:w="3130" w:type="dxa"/>
            <w:tcBorders/>
            <w:vAlign w:val="center"/>
          </w:tcPr>
          <w:p>
            <w:pPr>
              <w:pStyle w:val="TableContents"/>
              <w:widowControl w:val="false"/>
              <w:suppressLineNumbers/>
              <w:spacing w:before="0" w:after="160"/>
              <w:rPr/>
            </w:pPr>
            <w:r>
              <w:rPr/>
              <w:t>Low-code sensor-to-cloud IoT platform and dashboards.</w:t>
            </w:r>
          </w:p>
        </w:tc>
        <w:tc>
          <w:tcPr>
            <w:tcW w:w="4418" w:type="dxa"/>
            <w:tcBorders/>
            <w:vAlign w:val="center"/>
          </w:tcPr>
          <w:p>
            <w:pPr>
              <w:pStyle w:val="TableContents"/>
              <w:widowControl w:val="false"/>
              <w:suppressLineNumbers/>
              <w:spacing w:before="0" w:after="160"/>
              <w:rPr/>
            </w:pPr>
            <w:r>
              <w:rPr/>
              <w:t>Good for dashboard, white-label IoT, LoRaWAN, and “sensor to cloud” messaging. (</w:t>
            </w:r>
            <w:hyperlink r:id="rId31">
              <w:r>
                <w:rPr>
                  <w:rStyle w:val="InternetLink"/>
                </w:rPr>
                <w:t>datacake.co</w:t>
              </w:r>
            </w:hyperlink>
            <w:r>
              <w:rPr/>
              <w:t>)</w:t>
            </w:r>
          </w:p>
        </w:tc>
      </w:tr>
      <w:tr>
        <w:trPr/>
        <w:tc>
          <w:tcPr>
            <w:tcW w:w="1812" w:type="dxa"/>
            <w:tcBorders/>
            <w:vAlign w:val="center"/>
          </w:tcPr>
          <w:p>
            <w:pPr>
              <w:pStyle w:val="TableContents"/>
              <w:widowControl w:val="false"/>
              <w:suppressLineNumbers/>
              <w:spacing w:before="0" w:after="160"/>
              <w:rPr/>
            </w:pPr>
            <w:r>
              <w:rPr>
                <w:rStyle w:val="StrongEmphasis"/>
              </w:rPr>
              <w:t>N3uron</w:t>
            </w:r>
          </w:p>
        </w:tc>
        <w:tc>
          <w:tcPr>
            <w:tcW w:w="3130" w:type="dxa"/>
            <w:tcBorders/>
            <w:vAlign w:val="center"/>
          </w:tcPr>
          <w:p>
            <w:pPr>
              <w:pStyle w:val="TableContents"/>
              <w:widowControl w:val="false"/>
              <w:suppressLineNumbers/>
              <w:spacing w:before="0" w:after="160"/>
              <w:rPr/>
            </w:pPr>
            <w:r>
              <w:rPr/>
              <w:t>Industrial IoT, SCADA, data collection, visualization.</w:t>
            </w:r>
          </w:p>
        </w:tc>
        <w:tc>
          <w:tcPr>
            <w:tcW w:w="4418" w:type="dxa"/>
            <w:tcBorders/>
            <w:vAlign w:val="center"/>
          </w:tcPr>
          <w:p>
            <w:pPr>
              <w:pStyle w:val="TableContents"/>
              <w:widowControl w:val="false"/>
              <w:suppressLineNumbers/>
              <w:spacing w:before="0" w:after="160"/>
              <w:rPr/>
            </w:pPr>
            <w:r>
              <w:rPr/>
              <w:t>Useful for industrial data acquisition, visualization, edge computing, and monitoring platform language. (</w:t>
            </w:r>
            <w:hyperlink r:id="rId32">
              <w:r>
                <w:rPr>
                  <w:rStyle w:val="InternetLink"/>
                </w:rPr>
                <w:t>N3uron Website</w:t>
              </w:r>
            </w:hyperlink>
            <w:r>
              <w:rPr/>
              <w:t>)</w:t>
            </w:r>
          </w:p>
        </w:tc>
      </w:tr>
    </w:tbl>
    <w:p>
      <w:pPr>
        <w:pStyle w:val="Heading3"/>
        <w:rPr/>
      </w:pPr>
      <w:r>
        <w:rPr/>
        <w:t>4. Warehouse, logistics, operations, and Throughport WMS inspiration</w:t>
      </w:r>
    </w:p>
    <w:p>
      <w:pPr>
        <w:pStyle w:val="TextBody"/>
        <w:rPr/>
      </w:pPr>
      <w:r>
        <w:rPr/>
        <w:t xml:space="preserve">Study these for </w:t>
      </w:r>
      <w:r>
        <w:rPr>
          <w:rStyle w:val="StrongEmphasis"/>
        </w:rPr>
        <w:t>Throughport WMS</w:t>
      </w:r>
      <w:r>
        <w:rPr/>
        <w:t>, warehouse traceability, inspection gates, material movement, ERP/RFID integration, and operational visibility.</w:t>
      </w:r>
    </w:p>
    <w:tbl>
      <w:tblPr>
        <w:tblW w:w="9360" w:type="dxa"/>
        <w:jc w:val="left"/>
        <w:tblInd w:w="0" w:type="dxa"/>
        <w:tblLayout w:type="fixed"/>
        <w:tblCellMar>
          <w:top w:w="28" w:type="dxa"/>
          <w:left w:w="28" w:type="dxa"/>
          <w:bottom w:w="28" w:type="dxa"/>
          <w:right w:w="28" w:type="dxa"/>
        </w:tblCellMar>
      </w:tblPr>
      <w:tblGrid>
        <w:gridCol w:w="1661"/>
        <w:gridCol w:w="3429"/>
        <w:gridCol w:w="4270"/>
      </w:tblGrid>
      <w:tr>
        <w:trPr>
          <w:tblHeader w:val="true"/>
        </w:trPr>
        <w:tc>
          <w:tcPr>
            <w:tcW w:w="1661" w:type="dxa"/>
            <w:tcBorders/>
            <w:vAlign w:val="center"/>
          </w:tcPr>
          <w:p>
            <w:pPr>
              <w:pStyle w:val="TableHeading"/>
              <w:suppressLineNumbers/>
              <w:spacing w:before="0" w:after="160"/>
              <w:jc w:val="center"/>
              <w:rPr/>
            </w:pPr>
            <w:r>
              <w:rPr/>
              <w:t>Company</w:t>
            </w:r>
          </w:p>
        </w:tc>
        <w:tc>
          <w:tcPr>
            <w:tcW w:w="3429" w:type="dxa"/>
            <w:tcBorders/>
            <w:vAlign w:val="center"/>
          </w:tcPr>
          <w:p>
            <w:pPr>
              <w:pStyle w:val="TableHeading"/>
              <w:suppressLineNumbers/>
              <w:spacing w:before="0" w:after="160"/>
              <w:jc w:val="center"/>
              <w:rPr/>
            </w:pPr>
            <w:r>
              <w:rPr/>
              <w:t>AICORE relevance</w:t>
            </w:r>
          </w:p>
        </w:tc>
        <w:tc>
          <w:tcPr>
            <w:tcW w:w="4270" w:type="dxa"/>
            <w:tcBorders/>
            <w:vAlign w:val="center"/>
          </w:tcPr>
          <w:p>
            <w:pPr>
              <w:pStyle w:val="TableHeading"/>
              <w:suppressLineNumbers/>
              <w:spacing w:before="0" w:after="160"/>
              <w:jc w:val="center"/>
              <w:rPr/>
            </w:pPr>
            <w:r>
              <w:rPr/>
              <w:t>Content insight to adapt</w:t>
            </w:r>
          </w:p>
        </w:tc>
      </w:tr>
      <w:tr>
        <w:trPr/>
        <w:tc>
          <w:tcPr>
            <w:tcW w:w="1661" w:type="dxa"/>
            <w:tcBorders/>
            <w:vAlign w:val="center"/>
          </w:tcPr>
          <w:p>
            <w:pPr>
              <w:pStyle w:val="TableContents"/>
              <w:widowControl w:val="false"/>
              <w:suppressLineNumbers/>
              <w:spacing w:before="0" w:after="160"/>
              <w:rPr/>
            </w:pPr>
            <w:r>
              <w:rPr>
                <w:rStyle w:val="StrongEmphasis"/>
              </w:rPr>
              <w:t>Manhattan Associates</w:t>
            </w:r>
          </w:p>
        </w:tc>
        <w:tc>
          <w:tcPr>
            <w:tcW w:w="3429" w:type="dxa"/>
            <w:tcBorders/>
            <w:vAlign w:val="center"/>
          </w:tcPr>
          <w:p>
            <w:pPr>
              <w:pStyle w:val="TableContents"/>
              <w:widowControl w:val="false"/>
              <w:suppressLineNumbers/>
              <w:spacing w:before="0" w:after="160"/>
              <w:rPr/>
            </w:pPr>
            <w:r>
              <w:rPr/>
              <w:t>Tier-one WMS with warehouse execution, automation, and robotics orchestration.</w:t>
            </w:r>
          </w:p>
        </w:tc>
        <w:tc>
          <w:tcPr>
            <w:tcW w:w="4270" w:type="dxa"/>
            <w:tcBorders/>
            <w:vAlign w:val="center"/>
          </w:tcPr>
          <w:p>
            <w:pPr>
              <w:pStyle w:val="TableContents"/>
              <w:widowControl w:val="false"/>
              <w:suppressLineNumbers/>
              <w:spacing w:before="0" w:after="160"/>
              <w:rPr/>
            </w:pPr>
            <w:r>
              <w:rPr/>
              <w:t>Study how they position WMS as automation + execution + visibility, not just inventory. (</w:t>
            </w:r>
            <w:hyperlink r:id="rId33">
              <w:r>
                <w:rPr>
                  <w:rStyle w:val="InternetLink"/>
                </w:rPr>
                <w:t>Manhattan</w:t>
              </w:r>
            </w:hyperlink>
            <w:r>
              <w:rPr/>
              <w:t>)</w:t>
            </w:r>
          </w:p>
        </w:tc>
      </w:tr>
      <w:tr>
        <w:trPr/>
        <w:tc>
          <w:tcPr>
            <w:tcW w:w="1661" w:type="dxa"/>
            <w:tcBorders/>
            <w:vAlign w:val="center"/>
          </w:tcPr>
          <w:p>
            <w:pPr>
              <w:pStyle w:val="TableContents"/>
              <w:widowControl w:val="false"/>
              <w:suppressLineNumbers/>
              <w:spacing w:before="0" w:after="160"/>
              <w:rPr/>
            </w:pPr>
            <w:r>
              <w:rPr>
                <w:rStyle w:val="StrongEmphasis"/>
              </w:rPr>
              <w:t>Softeon</w:t>
            </w:r>
          </w:p>
        </w:tc>
        <w:tc>
          <w:tcPr>
            <w:tcW w:w="3429" w:type="dxa"/>
            <w:tcBorders/>
            <w:vAlign w:val="center"/>
          </w:tcPr>
          <w:p>
            <w:pPr>
              <w:pStyle w:val="TableContents"/>
              <w:widowControl w:val="false"/>
              <w:suppressLineNumbers/>
              <w:spacing w:before="0" w:after="160"/>
              <w:rPr/>
            </w:pPr>
            <w:r>
              <w:rPr/>
              <w:t>WMS and supply chain execution with robotics/material handling integration.</w:t>
            </w:r>
          </w:p>
        </w:tc>
        <w:tc>
          <w:tcPr>
            <w:tcW w:w="4270" w:type="dxa"/>
            <w:tcBorders/>
            <w:vAlign w:val="center"/>
          </w:tcPr>
          <w:p>
            <w:pPr>
              <w:pStyle w:val="TableContents"/>
              <w:widowControl w:val="false"/>
              <w:suppressLineNumbers/>
              <w:spacing w:before="0" w:after="160"/>
              <w:rPr/>
            </w:pPr>
            <w:r>
              <w:rPr/>
              <w:t>Useful for Throughport’s integration and warehouse process pages. (</w:t>
            </w:r>
            <w:hyperlink r:id="rId34">
              <w:r>
                <w:rPr>
                  <w:rStyle w:val="InternetLink"/>
                </w:rPr>
                <w:t>Softeon</w:t>
              </w:r>
            </w:hyperlink>
            <w:r>
              <w:rPr/>
              <w:t>)</w:t>
            </w:r>
          </w:p>
        </w:tc>
      </w:tr>
      <w:tr>
        <w:trPr/>
        <w:tc>
          <w:tcPr>
            <w:tcW w:w="1661" w:type="dxa"/>
            <w:tcBorders/>
            <w:vAlign w:val="center"/>
          </w:tcPr>
          <w:p>
            <w:pPr>
              <w:pStyle w:val="TableContents"/>
              <w:widowControl w:val="false"/>
              <w:suppressLineNumbers/>
              <w:spacing w:before="0" w:after="160"/>
              <w:rPr/>
            </w:pPr>
            <w:r>
              <w:rPr>
                <w:rStyle w:val="StrongEmphasis"/>
              </w:rPr>
              <w:t>Odoo Inventory</w:t>
            </w:r>
          </w:p>
        </w:tc>
        <w:tc>
          <w:tcPr>
            <w:tcW w:w="3429" w:type="dxa"/>
            <w:tcBorders/>
            <w:vAlign w:val="center"/>
          </w:tcPr>
          <w:p>
            <w:pPr>
              <w:pStyle w:val="TableContents"/>
              <w:widowControl w:val="false"/>
              <w:suppressLineNumbers/>
              <w:spacing w:before="0" w:after="160"/>
              <w:rPr/>
            </w:pPr>
            <w:r>
              <w:rPr/>
              <w:t>Inventory, warehouse, traceability, stock moves, reports.</w:t>
            </w:r>
          </w:p>
        </w:tc>
        <w:tc>
          <w:tcPr>
            <w:tcW w:w="4270" w:type="dxa"/>
            <w:tcBorders/>
            <w:vAlign w:val="center"/>
          </w:tcPr>
          <w:p>
            <w:pPr>
              <w:pStyle w:val="TableContents"/>
              <w:widowControl w:val="false"/>
              <w:suppressLineNumbers/>
              <w:spacing w:before="0" w:after="160"/>
              <w:rPr/>
            </w:pPr>
            <w:r>
              <w:rPr/>
              <w:t>Useful for SME-friendly inventory/warehouse language. (</w:t>
            </w:r>
            <w:hyperlink r:id="rId35">
              <w:r>
                <w:rPr>
                  <w:rStyle w:val="InternetLink"/>
                </w:rPr>
                <w:t>Odoo</w:t>
              </w:r>
            </w:hyperlink>
            <w:r>
              <w:rPr/>
              <w:t>)</w:t>
            </w:r>
          </w:p>
        </w:tc>
      </w:tr>
      <w:tr>
        <w:trPr/>
        <w:tc>
          <w:tcPr>
            <w:tcW w:w="1661" w:type="dxa"/>
            <w:tcBorders/>
            <w:vAlign w:val="center"/>
          </w:tcPr>
          <w:p>
            <w:pPr>
              <w:pStyle w:val="TableContents"/>
              <w:widowControl w:val="false"/>
              <w:suppressLineNumbers/>
              <w:spacing w:before="0" w:after="160"/>
              <w:rPr/>
            </w:pPr>
            <w:r>
              <w:rPr>
                <w:rStyle w:val="StrongEmphasis"/>
              </w:rPr>
              <w:t>SAP WMS / SAP resources</w:t>
            </w:r>
          </w:p>
        </w:tc>
        <w:tc>
          <w:tcPr>
            <w:tcW w:w="3429" w:type="dxa"/>
            <w:tcBorders/>
            <w:vAlign w:val="center"/>
          </w:tcPr>
          <w:p>
            <w:pPr>
              <w:pStyle w:val="TableContents"/>
              <w:widowControl w:val="false"/>
              <w:suppressLineNumbers/>
              <w:spacing w:before="0" w:after="160"/>
              <w:rPr/>
            </w:pPr>
            <w:r>
              <w:rPr/>
              <w:t>Broad WMS concept: real-time visibility, inventory, picking, packing, analytics.</w:t>
            </w:r>
          </w:p>
        </w:tc>
        <w:tc>
          <w:tcPr>
            <w:tcW w:w="4270" w:type="dxa"/>
            <w:tcBorders/>
            <w:vAlign w:val="center"/>
          </w:tcPr>
          <w:p>
            <w:pPr>
              <w:pStyle w:val="TableContents"/>
              <w:widowControl w:val="false"/>
              <w:suppressLineNumbers/>
              <w:spacing w:before="0" w:after="160"/>
              <w:rPr/>
            </w:pPr>
            <w:r>
              <w:rPr/>
              <w:t>Useful for explaining WMS benefits to larger organizations. (</w:t>
            </w:r>
            <w:hyperlink r:id="rId36">
              <w:r>
                <w:rPr>
                  <w:rStyle w:val="InternetLink"/>
                </w:rPr>
                <w:t>SAP</w:t>
              </w:r>
            </w:hyperlink>
            <w:r>
              <w:rPr/>
              <w:t>)</w:t>
            </w:r>
          </w:p>
        </w:tc>
      </w:tr>
      <w:tr>
        <w:trPr/>
        <w:tc>
          <w:tcPr>
            <w:tcW w:w="1661" w:type="dxa"/>
            <w:tcBorders/>
            <w:vAlign w:val="center"/>
          </w:tcPr>
          <w:p>
            <w:pPr>
              <w:pStyle w:val="TableContents"/>
              <w:widowControl w:val="false"/>
              <w:suppressLineNumbers/>
              <w:spacing w:before="0" w:after="160"/>
              <w:rPr/>
            </w:pPr>
            <w:r>
              <w:rPr>
                <w:rStyle w:val="StrongEmphasis"/>
              </w:rPr>
              <w:t>Tulip</w:t>
            </w:r>
          </w:p>
        </w:tc>
        <w:tc>
          <w:tcPr>
            <w:tcW w:w="3429" w:type="dxa"/>
            <w:tcBorders/>
            <w:vAlign w:val="center"/>
          </w:tcPr>
          <w:p>
            <w:pPr>
              <w:pStyle w:val="TableContents"/>
              <w:widowControl w:val="false"/>
              <w:suppressLineNumbers/>
              <w:spacing w:before="0" w:after="160"/>
              <w:rPr/>
            </w:pPr>
            <w:r>
              <w:rPr/>
              <w:t>Frontline operations platform for manufacturing and operational visibility.</w:t>
            </w:r>
          </w:p>
        </w:tc>
        <w:tc>
          <w:tcPr>
            <w:tcW w:w="4270" w:type="dxa"/>
            <w:tcBorders/>
            <w:vAlign w:val="center"/>
          </w:tcPr>
          <w:p>
            <w:pPr>
              <w:pStyle w:val="TableContents"/>
              <w:widowControl w:val="false"/>
              <w:suppressLineNumbers/>
              <w:spacing w:before="0" w:after="160"/>
              <w:rPr/>
            </w:pPr>
            <w:r>
              <w:rPr/>
              <w:t>Very useful for presenting dashboards, production visibility, quality, process tracking, and workflow apps. (</w:t>
            </w:r>
            <w:hyperlink r:id="rId37">
              <w:r>
                <w:rPr>
                  <w:rStyle w:val="InternetLink"/>
                </w:rPr>
                <w:t>Tulip</w:t>
              </w:r>
            </w:hyperlink>
            <w:r>
              <w:rPr/>
              <w:t>)</w:t>
            </w:r>
          </w:p>
        </w:tc>
      </w:tr>
    </w:tbl>
    <w:p>
      <w:pPr>
        <w:pStyle w:val="Heading3"/>
        <w:rPr/>
      </w:pPr>
      <w:r>
        <w:rPr/>
        <w:t>5. Smart energy monitoring, asset monitoring, and field operations</w:t>
      </w:r>
    </w:p>
    <w:p>
      <w:pPr>
        <w:pStyle w:val="TextBody"/>
        <w:rPr/>
      </w:pPr>
      <w:r>
        <w:rPr/>
        <w:t xml:space="preserve">Study these for </w:t>
      </w:r>
      <w:r>
        <w:rPr>
          <w:rStyle w:val="StrongEmphasis"/>
        </w:rPr>
        <w:t>Smart Energy Monitoring Platform</w:t>
      </w:r>
      <w:r>
        <w:rPr/>
        <w:t>, IoT monitoring, solar/inverter/battery/transformer monitoring, and field dashboards.</w:t>
      </w:r>
    </w:p>
    <w:tbl>
      <w:tblPr>
        <w:tblW w:w="9360" w:type="dxa"/>
        <w:jc w:val="left"/>
        <w:tblInd w:w="0" w:type="dxa"/>
        <w:tblLayout w:type="fixed"/>
        <w:tblCellMar>
          <w:top w:w="28" w:type="dxa"/>
          <w:left w:w="28" w:type="dxa"/>
          <w:bottom w:w="28" w:type="dxa"/>
          <w:right w:w="28" w:type="dxa"/>
        </w:tblCellMar>
      </w:tblPr>
      <w:tblGrid>
        <w:gridCol w:w="2414"/>
        <w:gridCol w:w="3033"/>
        <w:gridCol w:w="3913"/>
      </w:tblGrid>
      <w:tr>
        <w:trPr>
          <w:tblHeader w:val="true"/>
        </w:trPr>
        <w:tc>
          <w:tcPr>
            <w:tcW w:w="2414" w:type="dxa"/>
            <w:tcBorders/>
            <w:vAlign w:val="center"/>
          </w:tcPr>
          <w:p>
            <w:pPr>
              <w:pStyle w:val="TableHeading"/>
              <w:suppressLineNumbers/>
              <w:spacing w:before="0" w:after="160"/>
              <w:jc w:val="center"/>
              <w:rPr/>
            </w:pPr>
            <w:r>
              <w:rPr/>
              <w:t>Company</w:t>
            </w:r>
          </w:p>
        </w:tc>
        <w:tc>
          <w:tcPr>
            <w:tcW w:w="3033" w:type="dxa"/>
            <w:tcBorders/>
            <w:vAlign w:val="center"/>
          </w:tcPr>
          <w:p>
            <w:pPr>
              <w:pStyle w:val="TableHeading"/>
              <w:suppressLineNumbers/>
              <w:spacing w:before="0" w:after="160"/>
              <w:jc w:val="center"/>
              <w:rPr/>
            </w:pPr>
            <w:r>
              <w:rPr/>
              <w:t>AICORE relevance</w:t>
            </w:r>
          </w:p>
        </w:tc>
        <w:tc>
          <w:tcPr>
            <w:tcW w:w="3913" w:type="dxa"/>
            <w:tcBorders/>
            <w:vAlign w:val="center"/>
          </w:tcPr>
          <w:p>
            <w:pPr>
              <w:pStyle w:val="TableHeading"/>
              <w:suppressLineNumbers/>
              <w:spacing w:before="0" w:after="160"/>
              <w:jc w:val="center"/>
              <w:rPr/>
            </w:pPr>
            <w:r>
              <w:rPr/>
              <w:t>Content insight to adapt</w:t>
            </w:r>
          </w:p>
        </w:tc>
      </w:tr>
      <w:tr>
        <w:trPr/>
        <w:tc>
          <w:tcPr>
            <w:tcW w:w="2414" w:type="dxa"/>
            <w:tcBorders/>
            <w:vAlign w:val="center"/>
          </w:tcPr>
          <w:p>
            <w:pPr>
              <w:pStyle w:val="TableContents"/>
              <w:widowControl w:val="false"/>
              <w:suppressLineNumbers/>
              <w:spacing w:before="0" w:after="160"/>
              <w:rPr/>
            </w:pPr>
            <w:r>
              <w:rPr>
                <w:rStyle w:val="StrongEmphasis"/>
              </w:rPr>
              <w:t>Schneider Electric EcoStruxure Power Monitoring Expert</w:t>
            </w:r>
          </w:p>
        </w:tc>
        <w:tc>
          <w:tcPr>
            <w:tcW w:w="3033" w:type="dxa"/>
            <w:tcBorders/>
            <w:vAlign w:val="center"/>
          </w:tcPr>
          <w:p>
            <w:pPr>
              <w:pStyle w:val="TableContents"/>
              <w:widowControl w:val="false"/>
              <w:suppressLineNumbers/>
              <w:spacing w:before="0" w:after="160"/>
              <w:rPr/>
            </w:pPr>
            <w:r>
              <w:rPr/>
              <w:t>Power monitoring, energy data, electrical network visibility, actionable web interface.</w:t>
            </w:r>
          </w:p>
        </w:tc>
        <w:tc>
          <w:tcPr>
            <w:tcW w:w="3913" w:type="dxa"/>
            <w:tcBorders/>
            <w:vAlign w:val="center"/>
          </w:tcPr>
          <w:p>
            <w:pPr>
              <w:pStyle w:val="TableContents"/>
              <w:widowControl w:val="false"/>
              <w:suppressLineNumbers/>
              <w:spacing w:before="0" w:after="160"/>
              <w:rPr/>
            </w:pPr>
            <w:r>
              <w:rPr/>
              <w:t>Strong benchmark for smart energy monitoring and power visibility language. (</w:t>
            </w:r>
            <w:hyperlink r:id="rId38">
              <w:r>
                <w:rPr>
                  <w:rStyle w:val="InternetLink"/>
                </w:rPr>
                <w:t>Schneider Electric</w:t>
              </w:r>
            </w:hyperlink>
            <w:r>
              <w:rPr/>
              <w:t>)</w:t>
            </w:r>
          </w:p>
        </w:tc>
      </w:tr>
      <w:tr>
        <w:trPr/>
        <w:tc>
          <w:tcPr>
            <w:tcW w:w="2414" w:type="dxa"/>
            <w:tcBorders/>
            <w:vAlign w:val="center"/>
          </w:tcPr>
          <w:p>
            <w:pPr>
              <w:pStyle w:val="TableContents"/>
              <w:widowControl w:val="false"/>
              <w:suppressLineNumbers/>
              <w:spacing w:before="0" w:after="160"/>
              <w:rPr/>
            </w:pPr>
            <w:r>
              <w:rPr>
                <w:rStyle w:val="StrongEmphasis"/>
              </w:rPr>
              <w:t>Siemens Industrial Edge / Insights Hub</w:t>
            </w:r>
          </w:p>
        </w:tc>
        <w:tc>
          <w:tcPr>
            <w:tcW w:w="3033" w:type="dxa"/>
            <w:tcBorders/>
            <w:vAlign w:val="center"/>
          </w:tcPr>
          <w:p>
            <w:pPr>
              <w:pStyle w:val="TableContents"/>
              <w:widowControl w:val="false"/>
              <w:suppressLineNumbers/>
              <w:spacing w:before="0" w:after="160"/>
              <w:rPr/>
            </w:pPr>
            <w:r>
              <w:rPr/>
              <w:t>Industrial edge, IT/OT integration, IoT analytics, AI and plant data.</w:t>
            </w:r>
          </w:p>
        </w:tc>
        <w:tc>
          <w:tcPr>
            <w:tcW w:w="3913" w:type="dxa"/>
            <w:tcBorders/>
            <w:vAlign w:val="center"/>
          </w:tcPr>
          <w:p>
            <w:pPr>
              <w:pStyle w:val="TableContents"/>
              <w:widowControl w:val="false"/>
              <w:suppressLineNumbers/>
              <w:spacing w:before="0" w:after="160"/>
              <w:rPr/>
            </w:pPr>
            <w:r>
              <w:rPr/>
              <w:t>Useful for industrial energy/asset monitoring and edge-to-cloud system messaging. (</w:t>
            </w:r>
            <w:hyperlink r:id="rId39">
              <w:r>
                <w:rPr>
                  <w:rStyle w:val="InternetLink"/>
                </w:rPr>
                <w:t>Siemens</w:t>
              </w:r>
            </w:hyperlink>
            <w:r>
              <w:rPr/>
              <w:t>)</w:t>
            </w:r>
          </w:p>
        </w:tc>
      </w:tr>
      <w:tr>
        <w:trPr/>
        <w:tc>
          <w:tcPr>
            <w:tcW w:w="2414" w:type="dxa"/>
            <w:tcBorders/>
            <w:vAlign w:val="center"/>
          </w:tcPr>
          <w:p>
            <w:pPr>
              <w:pStyle w:val="TableContents"/>
              <w:widowControl w:val="false"/>
              <w:suppressLineNumbers/>
              <w:spacing w:before="0" w:after="160"/>
              <w:rPr/>
            </w:pPr>
            <w:r>
              <w:rPr>
                <w:rStyle w:val="StrongEmphasis"/>
              </w:rPr>
              <w:t>Samsara</w:t>
            </w:r>
          </w:p>
        </w:tc>
        <w:tc>
          <w:tcPr>
            <w:tcW w:w="3033" w:type="dxa"/>
            <w:tcBorders/>
            <w:vAlign w:val="center"/>
          </w:tcPr>
          <w:p>
            <w:pPr>
              <w:pStyle w:val="TableContents"/>
              <w:widowControl w:val="false"/>
              <w:suppressLineNumbers/>
              <w:spacing w:before="0" w:after="160"/>
              <w:rPr/>
            </w:pPr>
            <w:r>
              <w:rPr/>
              <w:t>Connected operations, fleet/equipment tracking, GPS, telematics, maintenance.</w:t>
            </w:r>
          </w:p>
        </w:tc>
        <w:tc>
          <w:tcPr>
            <w:tcW w:w="3913" w:type="dxa"/>
            <w:tcBorders/>
            <w:vAlign w:val="center"/>
          </w:tcPr>
          <w:p>
            <w:pPr>
              <w:pStyle w:val="TableContents"/>
              <w:widowControl w:val="false"/>
              <w:suppressLineNumbers/>
              <w:spacing w:before="0" w:after="160"/>
              <w:rPr/>
            </w:pPr>
            <w:r>
              <w:rPr/>
              <w:t>Useful for field asset monitoring, equipment dashboards, alerts, and connected operations storytelling. (</w:t>
            </w:r>
            <w:hyperlink r:id="rId40">
              <w:r>
                <w:rPr>
                  <w:rStyle w:val="InternetLink"/>
                </w:rPr>
                <w:t>Samsara</w:t>
              </w:r>
            </w:hyperlink>
            <w:r>
              <w:rPr/>
              <w:t>)</w:t>
            </w:r>
          </w:p>
        </w:tc>
      </w:tr>
      <w:tr>
        <w:trPr/>
        <w:tc>
          <w:tcPr>
            <w:tcW w:w="2414" w:type="dxa"/>
            <w:tcBorders/>
            <w:vAlign w:val="center"/>
          </w:tcPr>
          <w:p>
            <w:pPr>
              <w:pStyle w:val="TableContents"/>
              <w:widowControl w:val="false"/>
              <w:suppressLineNumbers/>
              <w:spacing w:before="0" w:after="160"/>
              <w:rPr/>
            </w:pPr>
            <w:r>
              <w:rPr>
                <w:rStyle w:val="StrongEmphasis"/>
              </w:rPr>
              <w:t>N3uron</w:t>
            </w:r>
          </w:p>
        </w:tc>
        <w:tc>
          <w:tcPr>
            <w:tcW w:w="3033" w:type="dxa"/>
            <w:tcBorders/>
            <w:vAlign w:val="center"/>
          </w:tcPr>
          <w:p>
            <w:pPr>
              <w:pStyle w:val="TableContents"/>
              <w:widowControl w:val="false"/>
              <w:suppressLineNumbers/>
              <w:spacing w:before="0" w:after="160"/>
              <w:rPr/>
            </w:pPr>
            <w:r>
              <w:rPr/>
              <w:t>Industrial data collection, SCADA, dashboards, edge computing.</w:t>
            </w:r>
          </w:p>
        </w:tc>
        <w:tc>
          <w:tcPr>
            <w:tcW w:w="3913" w:type="dxa"/>
            <w:tcBorders/>
            <w:vAlign w:val="center"/>
          </w:tcPr>
          <w:p>
            <w:pPr>
              <w:pStyle w:val="TableContents"/>
              <w:widowControl w:val="false"/>
              <w:suppressLineNumbers/>
              <w:spacing w:before="0" w:after="160"/>
              <w:rPr/>
            </w:pPr>
            <w:r>
              <w:rPr/>
              <w:t>Useful for smart monitoring, industrial visualization, and operational dashboards. (</w:t>
            </w:r>
            <w:hyperlink r:id="rId41">
              <w:r>
                <w:rPr>
                  <w:rStyle w:val="InternetLink"/>
                </w:rPr>
                <w:t>N3uron Website</w:t>
              </w:r>
            </w:hyperlink>
            <w:r>
              <w:rPr/>
              <w:t>)</w:t>
            </w:r>
          </w:p>
        </w:tc>
      </w:tr>
    </w:tbl>
    <w:p>
      <w:pPr>
        <w:pStyle w:val="Heading3"/>
        <w:rPr/>
      </w:pPr>
      <w:r>
        <w:rPr/>
        <w:t>6. Robotics, intelligent hardware, and STEM/training</w:t>
      </w:r>
    </w:p>
    <w:p>
      <w:pPr>
        <w:pStyle w:val="TextBody"/>
        <w:rPr/>
      </w:pPr>
      <w:r>
        <w:rPr/>
        <w:t xml:space="preserve">Study these for </w:t>
      </w:r>
      <w:r>
        <w:rPr>
          <w:rStyle w:val="StrongEmphasis"/>
        </w:rPr>
        <w:t>Robotics &amp; Intelligent Hardware</w:t>
      </w:r>
      <w:r>
        <w:rPr/>
        <w:t xml:space="preserve">, </w:t>
      </w:r>
      <w:r>
        <w:rPr>
          <w:rStyle w:val="StrongEmphasis"/>
        </w:rPr>
        <w:t>AICORE Academy</w:t>
      </w:r>
      <w:r>
        <w:rPr/>
        <w:t xml:space="preserve">, </w:t>
      </w:r>
      <w:r>
        <w:rPr>
          <w:rStyle w:val="StrongEmphasis"/>
        </w:rPr>
        <w:t>Robotics/STEM Learning Kits</w:t>
      </w:r>
      <w:r>
        <w:rPr/>
        <w:t>, and training pages.</w:t>
      </w:r>
    </w:p>
    <w:tbl>
      <w:tblPr>
        <w:tblW w:w="9360" w:type="dxa"/>
        <w:jc w:val="left"/>
        <w:tblInd w:w="0" w:type="dxa"/>
        <w:tblLayout w:type="fixed"/>
        <w:tblCellMar>
          <w:top w:w="28" w:type="dxa"/>
          <w:left w:w="28" w:type="dxa"/>
          <w:bottom w:w="28" w:type="dxa"/>
          <w:right w:w="28" w:type="dxa"/>
        </w:tblCellMar>
      </w:tblPr>
      <w:tblGrid>
        <w:gridCol w:w="1399"/>
        <w:gridCol w:w="3185"/>
        <w:gridCol w:w="4776"/>
      </w:tblGrid>
      <w:tr>
        <w:trPr>
          <w:tblHeader w:val="true"/>
        </w:trPr>
        <w:tc>
          <w:tcPr>
            <w:tcW w:w="1399" w:type="dxa"/>
            <w:tcBorders/>
            <w:vAlign w:val="center"/>
          </w:tcPr>
          <w:p>
            <w:pPr>
              <w:pStyle w:val="TableHeading"/>
              <w:suppressLineNumbers/>
              <w:spacing w:before="0" w:after="160"/>
              <w:jc w:val="center"/>
              <w:rPr/>
            </w:pPr>
            <w:r>
              <w:rPr/>
              <w:t>Company</w:t>
            </w:r>
          </w:p>
        </w:tc>
        <w:tc>
          <w:tcPr>
            <w:tcW w:w="3185" w:type="dxa"/>
            <w:tcBorders/>
            <w:vAlign w:val="center"/>
          </w:tcPr>
          <w:p>
            <w:pPr>
              <w:pStyle w:val="TableHeading"/>
              <w:suppressLineNumbers/>
              <w:spacing w:before="0" w:after="160"/>
              <w:jc w:val="center"/>
              <w:rPr/>
            </w:pPr>
            <w:r>
              <w:rPr/>
              <w:t>AICORE relevance</w:t>
            </w:r>
          </w:p>
        </w:tc>
        <w:tc>
          <w:tcPr>
            <w:tcW w:w="4776" w:type="dxa"/>
            <w:tcBorders/>
            <w:vAlign w:val="center"/>
          </w:tcPr>
          <w:p>
            <w:pPr>
              <w:pStyle w:val="TableHeading"/>
              <w:suppressLineNumbers/>
              <w:spacing w:before="0" w:after="160"/>
              <w:jc w:val="center"/>
              <w:rPr/>
            </w:pPr>
            <w:r>
              <w:rPr/>
              <w:t>Content insight to adapt</w:t>
            </w:r>
          </w:p>
        </w:tc>
      </w:tr>
      <w:tr>
        <w:trPr/>
        <w:tc>
          <w:tcPr>
            <w:tcW w:w="1399" w:type="dxa"/>
            <w:tcBorders/>
            <w:vAlign w:val="center"/>
          </w:tcPr>
          <w:p>
            <w:pPr>
              <w:pStyle w:val="TableContents"/>
              <w:widowControl w:val="false"/>
              <w:suppressLineNumbers/>
              <w:spacing w:before="0" w:after="160"/>
              <w:rPr/>
            </w:pPr>
            <w:r>
              <w:rPr>
                <w:rStyle w:val="StrongEmphasis"/>
              </w:rPr>
              <w:t>Boston Dynamics</w:t>
            </w:r>
          </w:p>
        </w:tc>
        <w:tc>
          <w:tcPr>
            <w:tcW w:w="3185" w:type="dxa"/>
            <w:tcBorders/>
            <w:vAlign w:val="center"/>
          </w:tcPr>
          <w:p>
            <w:pPr>
              <w:pStyle w:val="TableContents"/>
              <w:widowControl w:val="false"/>
              <w:suppressLineNumbers/>
              <w:spacing w:before="0" w:after="160"/>
              <w:rPr/>
            </w:pPr>
            <w:r>
              <w:rPr/>
              <w:t>Robotics product storytelling and industrial automation positioning.</w:t>
            </w:r>
          </w:p>
        </w:tc>
        <w:tc>
          <w:tcPr>
            <w:tcW w:w="4776" w:type="dxa"/>
            <w:tcBorders/>
            <w:vAlign w:val="center"/>
          </w:tcPr>
          <w:p>
            <w:pPr>
              <w:pStyle w:val="TableContents"/>
              <w:widowControl w:val="false"/>
              <w:suppressLineNumbers/>
              <w:spacing w:before="0" w:after="160"/>
              <w:rPr/>
            </w:pPr>
            <w:r>
              <w:rPr/>
              <w:t>Study how they show real robots, real use cases, and strong product visuals. (</w:t>
            </w:r>
            <w:hyperlink r:id="rId42">
              <w:r>
                <w:rPr>
                  <w:rStyle w:val="InternetLink"/>
                </w:rPr>
                <w:t>Boston Dynamics</w:t>
              </w:r>
            </w:hyperlink>
            <w:r>
              <w:rPr/>
              <w:t>)</w:t>
            </w:r>
          </w:p>
        </w:tc>
      </w:tr>
      <w:tr>
        <w:trPr/>
        <w:tc>
          <w:tcPr>
            <w:tcW w:w="1399" w:type="dxa"/>
            <w:tcBorders/>
            <w:vAlign w:val="center"/>
          </w:tcPr>
          <w:p>
            <w:pPr>
              <w:pStyle w:val="TableContents"/>
              <w:widowControl w:val="false"/>
              <w:suppressLineNumbers/>
              <w:spacing w:before="0" w:after="160"/>
              <w:rPr/>
            </w:pPr>
            <w:r>
              <w:rPr>
                <w:rStyle w:val="StrongEmphasis"/>
              </w:rPr>
              <w:t>Universal Robots</w:t>
            </w:r>
          </w:p>
        </w:tc>
        <w:tc>
          <w:tcPr>
            <w:tcW w:w="3185" w:type="dxa"/>
            <w:tcBorders/>
            <w:vAlign w:val="center"/>
          </w:tcPr>
          <w:p>
            <w:pPr>
              <w:pStyle w:val="TableContents"/>
              <w:widowControl w:val="false"/>
              <w:suppressLineNumbers/>
              <w:spacing w:before="0" w:after="160"/>
              <w:rPr/>
            </w:pPr>
            <w:r>
              <w:rPr/>
              <w:t>Collaborative robots, industrial automation, robot academy/training.</w:t>
            </w:r>
          </w:p>
        </w:tc>
        <w:tc>
          <w:tcPr>
            <w:tcW w:w="4776" w:type="dxa"/>
            <w:tcBorders/>
            <w:vAlign w:val="center"/>
          </w:tcPr>
          <w:p>
            <w:pPr>
              <w:pStyle w:val="TableContents"/>
              <w:widowControl w:val="false"/>
              <w:suppressLineNumbers/>
              <w:spacing w:before="0" w:after="160"/>
              <w:rPr/>
            </w:pPr>
            <w:r>
              <w:rPr/>
              <w:t>Useful for combining robotics products with education/training content. (</w:t>
            </w:r>
            <w:hyperlink r:id="rId43">
              <w:r>
                <w:rPr>
                  <w:rStyle w:val="InternetLink"/>
                </w:rPr>
                <w:t>universal-robots.com</w:t>
              </w:r>
            </w:hyperlink>
            <w:r>
              <w:rPr/>
              <w:t>)</w:t>
            </w:r>
          </w:p>
        </w:tc>
      </w:tr>
      <w:tr>
        <w:trPr/>
        <w:tc>
          <w:tcPr>
            <w:tcW w:w="1399" w:type="dxa"/>
            <w:tcBorders/>
            <w:vAlign w:val="center"/>
          </w:tcPr>
          <w:p>
            <w:pPr>
              <w:pStyle w:val="TableContents"/>
              <w:widowControl w:val="false"/>
              <w:suppressLineNumbers/>
              <w:spacing w:before="0" w:after="160"/>
              <w:rPr/>
            </w:pPr>
            <w:r>
              <w:rPr>
                <w:rStyle w:val="StrongEmphasis"/>
              </w:rPr>
              <w:t>Arduino Education</w:t>
            </w:r>
          </w:p>
        </w:tc>
        <w:tc>
          <w:tcPr>
            <w:tcW w:w="3185" w:type="dxa"/>
            <w:tcBorders/>
            <w:vAlign w:val="center"/>
          </w:tcPr>
          <w:p>
            <w:pPr>
              <w:pStyle w:val="TableContents"/>
              <w:widowControl w:val="false"/>
              <w:suppressLineNumbers/>
              <w:spacing w:before="0" w:after="160"/>
              <w:rPr/>
            </w:pPr>
            <w:r>
              <w:rPr/>
              <w:t>STEM/STEAM learning, practical electronics, education kits.</w:t>
            </w:r>
          </w:p>
        </w:tc>
        <w:tc>
          <w:tcPr>
            <w:tcW w:w="4776" w:type="dxa"/>
            <w:tcBorders/>
            <w:vAlign w:val="center"/>
          </w:tcPr>
          <w:p>
            <w:pPr>
              <w:pStyle w:val="TableContents"/>
              <w:widowControl w:val="false"/>
              <w:suppressLineNumbers/>
              <w:spacing w:before="0" w:after="160"/>
              <w:rPr/>
            </w:pPr>
            <w:r>
              <w:rPr/>
              <w:t>Useful for AICORE Academy’s robotics, embedded, and STEM training content. (</w:t>
            </w:r>
            <w:hyperlink r:id="rId44">
              <w:r>
                <w:rPr>
                  <w:rStyle w:val="InternetLink"/>
                </w:rPr>
                <w:t>arduino.cc</w:t>
              </w:r>
            </w:hyperlink>
            <w:r>
              <w:rPr/>
              <w:t>)</w:t>
            </w:r>
          </w:p>
        </w:tc>
      </w:tr>
      <w:tr>
        <w:trPr/>
        <w:tc>
          <w:tcPr>
            <w:tcW w:w="1399" w:type="dxa"/>
            <w:tcBorders/>
            <w:vAlign w:val="center"/>
          </w:tcPr>
          <w:p>
            <w:pPr>
              <w:pStyle w:val="TableContents"/>
              <w:widowControl w:val="false"/>
              <w:suppressLineNumbers/>
              <w:spacing w:before="0" w:after="160"/>
              <w:rPr/>
            </w:pPr>
            <w:r>
              <w:rPr>
                <w:rStyle w:val="StrongEmphasis"/>
              </w:rPr>
              <w:t>RobotLAB</w:t>
            </w:r>
          </w:p>
        </w:tc>
        <w:tc>
          <w:tcPr>
            <w:tcW w:w="3185" w:type="dxa"/>
            <w:tcBorders/>
            <w:vAlign w:val="center"/>
          </w:tcPr>
          <w:p>
            <w:pPr>
              <w:pStyle w:val="TableContents"/>
              <w:widowControl w:val="false"/>
              <w:suppressLineNumbers/>
              <w:spacing w:before="0" w:after="160"/>
              <w:rPr/>
            </w:pPr>
            <w:r>
              <w:rPr/>
              <w:t>Robotics education, AI labs, STEM robots, curriculum support.</w:t>
            </w:r>
          </w:p>
        </w:tc>
        <w:tc>
          <w:tcPr>
            <w:tcW w:w="4776" w:type="dxa"/>
            <w:tcBorders/>
            <w:vAlign w:val="center"/>
          </w:tcPr>
          <w:p>
            <w:pPr>
              <w:pStyle w:val="TableContents"/>
              <w:widowControl w:val="false"/>
              <w:suppressLineNumbers/>
              <w:spacing w:before="0" w:after="160"/>
              <w:rPr/>
            </w:pPr>
            <w:r>
              <w:rPr/>
              <w:t>Good model for school/institution pages and robotics/STEM learning-kit positioning. (</w:t>
            </w:r>
            <w:hyperlink r:id="rId45">
              <w:r>
                <w:rPr>
                  <w:rStyle w:val="InternetLink"/>
                </w:rPr>
                <w:t>robotlab.com</w:t>
              </w:r>
            </w:hyperlink>
            <w:r>
              <w:rPr/>
              <w:t>)</w:t>
            </w:r>
          </w:p>
        </w:tc>
      </w:tr>
    </w:tbl>
    <w:p>
      <w:pPr>
        <w:pStyle w:val="Heading2"/>
        <w:rPr/>
      </w:pPr>
      <w:r>
        <w:rPr/>
        <w:t>My recommended top 12 to study deeply</w:t>
      </w:r>
    </w:p>
    <w:p>
      <w:pPr>
        <w:pStyle w:val="TextBody"/>
        <w:rPr/>
      </w:pPr>
      <w:r>
        <w:rPr/>
        <w:t>Start with these:</w:t>
      </w:r>
    </w:p>
    <w:p>
      <w:pPr>
        <w:pStyle w:val="TextBody"/>
        <w:numPr>
          <w:ilvl w:val="0"/>
          <w:numId w:val="1"/>
        </w:numPr>
        <w:tabs>
          <w:tab w:val="clear" w:pos="720"/>
          <w:tab w:val="left" w:pos="0" w:leader="none"/>
        </w:tabs>
        <w:ind w:left="709" w:hanging="283"/>
        <w:rPr/>
      </w:pPr>
      <w:r>
        <w:rPr>
          <w:rStyle w:val="StrongEmphasis"/>
        </w:rPr>
        <w:t>Softeq</w:t>
      </w:r>
      <w:r>
        <w:rPr/>
        <w:t xml:space="preserve"> — best overall benchmark for AICORE’s cross-domain engineering.</w:t>
      </w:r>
    </w:p>
    <w:p>
      <w:pPr>
        <w:pStyle w:val="TextBody"/>
        <w:numPr>
          <w:ilvl w:val="0"/>
          <w:numId w:val="1"/>
        </w:numPr>
        <w:tabs>
          <w:tab w:val="clear" w:pos="720"/>
          <w:tab w:val="left" w:pos="0" w:leader="none"/>
        </w:tabs>
        <w:ind w:left="709" w:hanging="283"/>
        <w:rPr/>
      </w:pPr>
      <w:r>
        <w:rPr>
          <w:rStyle w:val="StrongEmphasis"/>
        </w:rPr>
        <w:t>Very</w:t>
      </w:r>
      <w:r>
        <w:rPr/>
        <w:t xml:space="preserve"> — IoT product development and AI-powered enterprise solutions.</w:t>
      </w:r>
    </w:p>
    <w:p>
      <w:pPr>
        <w:pStyle w:val="TextBody"/>
        <w:numPr>
          <w:ilvl w:val="0"/>
          <w:numId w:val="1"/>
        </w:numPr>
        <w:tabs>
          <w:tab w:val="clear" w:pos="720"/>
          <w:tab w:val="left" w:pos="0" w:leader="none"/>
        </w:tabs>
        <w:ind w:left="709" w:hanging="283"/>
        <w:rPr/>
      </w:pPr>
      <w:r>
        <w:rPr>
          <w:rStyle w:val="StrongEmphasis"/>
        </w:rPr>
        <w:t>UiPath</w:t>
      </w:r>
      <w:r>
        <w:rPr/>
        <w:t xml:space="preserve"> — AI + automation + enterprise workflow positioning.</w:t>
      </w:r>
    </w:p>
    <w:p>
      <w:pPr>
        <w:pStyle w:val="TextBody"/>
        <w:numPr>
          <w:ilvl w:val="0"/>
          <w:numId w:val="1"/>
        </w:numPr>
        <w:tabs>
          <w:tab w:val="clear" w:pos="720"/>
          <w:tab w:val="left" w:pos="0" w:leader="none"/>
        </w:tabs>
        <w:ind w:left="709" w:hanging="283"/>
        <w:rPr/>
      </w:pPr>
      <w:r>
        <w:rPr>
          <w:rStyle w:val="StrongEmphasis"/>
        </w:rPr>
        <w:t>n8n</w:t>
      </w:r>
      <w:r>
        <w:rPr/>
        <w:t xml:space="preserve"> — developer-friendly AI workflow automation.</w:t>
      </w:r>
    </w:p>
    <w:p>
      <w:pPr>
        <w:pStyle w:val="TextBody"/>
        <w:numPr>
          <w:ilvl w:val="0"/>
          <w:numId w:val="1"/>
        </w:numPr>
        <w:tabs>
          <w:tab w:val="clear" w:pos="720"/>
          <w:tab w:val="left" w:pos="0" w:leader="none"/>
        </w:tabs>
        <w:ind w:left="709" w:hanging="283"/>
        <w:rPr/>
      </w:pPr>
      <w:r>
        <w:rPr>
          <w:rStyle w:val="StrongEmphasis"/>
        </w:rPr>
        <w:t>Clay</w:t>
      </w:r>
      <w:r>
        <w:rPr/>
        <w:t xml:space="preserve"> — GrowthOS-style lead intelligence and AI enrichment.</w:t>
      </w:r>
    </w:p>
    <w:p>
      <w:pPr>
        <w:pStyle w:val="TextBody"/>
        <w:numPr>
          <w:ilvl w:val="0"/>
          <w:numId w:val="1"/>
        </w:numPr>
        <w:tabs>
          <w:tab w:val="clear" w:pos="720"/>
          <w:tab w:val="left" w:pos="0" w:leader="none"/>
        </w:tabs>
        <w:ind w:left="709" w:hanging="283"/>
        <w:rPr/>
      </w:pPr>
      <w:r>
        <w:rPr>
          <w:rStyle w:val="StrongEmphasis"/>
        </w:rPr>
        <w:t>HubSpot Breeze</w:t>
      </w:r>
      <w:r>
        <w:rPr/>
        <w:t xml:space="preserve"> — AI CRM and business-friendly AI messaging.</w:t>
      </w:r>
    </w:p>
    <w:p>
      <w:pPr>
        <w:pStyle w:val="TextBody"/>
        <w:numPr>
          <w:ilvl w:val="0"/>
          <w:numId w:val="1"/>
        </w:numPr>
        <w:tabs>
          <w:tab w:val="clear" w:pos="720"/>
          <w:tab w:val="left" w:pos="0" w:leader="none"/>
        </w:tabs>
        <w:ind w:left="709" w:hanging="283"/>
        <w:rPr/>
      </w:pPr>
      <w:r>
        <w:rPr>
          <w:rStyle w:val="StrongEmphasis"/>
        </w:rPr>
        <w:t>PTC ThingWorx</w:t>
      </w:r>
      <w:r>
        <w:rPr/>
        <w:t xml:space="preserve"> — industrial IoT platform positioning.</w:t>
      </w:r>
    </w:p>
    <w:p>
      <w:pPr>
        <w:pStyle w:val="TextBody"/>
        <w:numPr>
          <w:ilvl w:val="0"/>
          <w:numId w:val="1"/>
        </w:numPr>
        <w:tabs>
          <w:tab w:val="clear" w:pos="720"/>
          <w:tab w:val="left" w:pos="0" w:leader="none"/>
        </w:tabs>
        <w:ind w:left="709" w:hanging="283"/>
        <w:rPr/>
      </w:pPr>
      <w:r>
        <w:rPr>
          <w:rStyle w:val="StrongEmphasis"/>
        </w:rPr>
        <w:t>Particle</w:t>
      </w:r>
      <w:r>
        <w:rPr/>
        <w:t xml:space="preserve"> — device fleet and developer IoT platform.</w:t>
      </w:r>
    </w:p>
    <w:p>
      <w:pPr>
        <w:pStyle w:val="TextBody"/>
        <w:numPr>
          <w:ilvl w:val="0"/>
          <w:numId w:val="1"/>
        </w:numPr>
        <w:tabs>
          <w:tab w:val="clear" w:pos="720"/>
          <w:tab w:val="left" w:pos="0" w:leader="none"/>
        </w:tabs>
        <w:ind w:left="709" w:hanging="283"/>
        <w:rPr/>
      </w:pPr>
      <w:r>
        <w:rPr>
          <w:rStyle w:val="StrongEmphasis"/>
        </w:rPr>
        <w:t>Manhattan Associates</w:t>
      </w:r>
      <w:r>
        <w:rPr/>
        <w:t xml:space="preserve"> — Throughport/WMS inspiration.</w:t>
      </w:r>
    </w:p>
    <w:p>
      <w:pPr>
        <w:pStyle w:val="TextBody"/>
        <w:numPr>
          <w:ilvl w:val="0"/>
          <w:numId w:val="1"/>
        </w:numPr>
        <w:tabs>
          <w:tab w:val="clear" w:pos="720"/>
          <w:tab w:val="left" w:pos="0" w:leader="none"/>
        </w:tabs>
        <w:ind w:left="709" w:hanging="283"/>
        <w:rPr/>
      </w:pPr>
      <w:r>
        <w:rPr>
          <w:rStyle w:val="StrongEmphasis"/>
        </w:rPr>
        <w:t>Schneider EcoStruxure</w:t>
      </w:r>
      <w:r>
        <w:rPr/>
        <w:t xml:space="preserve"> — smart energy monitoring inspiration.</w:t>
      </w:r>
    </w:p>
    <w:p>
      <w:pPr>
        <w:pStyle w:val="TextBody"/>
        <w:numPr>
          <w:ilvl w:val="0"/>
          <w:numId w:val="1"/>
        </w:numPr>
        <w:tabs>
          <w:tab w:val="clear" w:pos="720"/>
          <w:tab w:val="left" w:pos="0" w:leader="none"/>
        </w:tabs>
        <w:ind w:left="709" w:hanging="283"/>
        <w:rPr/>
      </w:pPr>
      <w:r>
        <w:rPr>
          <w:rStyle w:val="StrongEmphasis"/>
        </w:rPr>
        <w:t>Glean</w:t>
      </w:r>
      <w:r>
        <w:rPr/>
        <w:t xml:space="preserve"> — AI knowledge assistant and internal AI search.</w:t>
      </w:r>
    </w:p>
    <w:p>
      <w:pPr>
        <w:pStyle w:val="TextBody"/>
        <w:numPr>
          <w:ilvl w:val="0"/>
          <w:numId w:val="1"/>
        </w:numPr>
        <w:tabs>
          <w:tab w:val="clear" w:pos="720"/>
          <w:tab w:val="left" w:pos="0" w:leader="none"/>
        </w:tabs>
        <w:ind w:left="709" w:hanging="283"/>
        <w:rPr/>
      </w:pPr>
      <w:r>
        <w:rPr>
          <w:rStyle w:val="StrongEmphasis"/>
        </w:rPr>
        <w:t>Arduino Education / RobotLAB</w:t>
      </w:r>
      <w:r>
        <w:rPr/>
        <w:t xml:space="preserve"> — AICORE Academy and robotics/STEM training.</w:t>
      </w:r>
    </w:p>
    <w:p>
      <w:pPr>
        <w:pStyle w:val="Heading2"/>
        <w:rPr/>
      </w:pPr>
      <w:r>
        <w:rPr/>
        <w:t>What AICORE should adapt from these websites</w:t>
      </w:r>
    </w:p>
    <w:p>
      <w:pPr>
        <w:pStyle w:val="TextBody"/>
        <w:rPr/>
      </w:pPr>
      <w:r>
        <w:rPr/>
        <w:t xml:space="preserve">Do not copy text. Adapt their </w:t>
      </w:r>
      <w:r>
        <w:rPr>
          <w:rStyle w:val="StrongEmphasis"/>
        </w:rPr>
        <w:t>content structure</w:t>
      </w:r>
      <w:r>
        <w:rPr/>
        <w:t>:</w:t>
      </w:r>
    </w:p>
    <w:p>
      <w:pPr>
        <w:pStyle w:val="TextBody"/>
        <w:numPr>
          <w:ilvl w:val="0"/>
          <w:numId w:val="2"/>
        </w:numPr>
        <w:tabs>
          <w:tab w:val="clear" w:pos="720"/>
          <w:tab w:val="left" w:pos="0" w:leader="none"/>
        </w:tabs>
        <w:ind w:left="709" w:hanging="283"/>
        <w:rPr/>
      </w:pPr>
      <w:r>
        <w:rPr/>
        <w:t>homepage hero positioning;</w:t>
      </w:r>
    </w:p>
    <w:p>
      <w:pPr>
        <w:pStyle w:val="TextBody"/>
        <w:numPr>
          <w:ilvl w:val="0"/>
          <w:numId w:val="2"/>
        </w:numPr>
        <w:tabs>
          <w:tab w:val="clear" w:pos="720"/>
          <w:tab w:val="left" w:pos="0" w:leader="none"/>
        </w:tabs>
        <w:ind w:left="709" w:hanging="283"/>
        <w:rPr/>
      </w:pPr>
      <w:r>
        <w:rPr/>
        <w:t>service-pillar grouping;</w:t>
      </w:r>
    </w:p>
    <w:p>
      <w:pPr>
        <w:pStyle w:val="TextBody"/>
        <w:numPr>
          <w:ilvl w:val="0"/>
          <w:numId w:val="2"/>
        </w:numPr>
        <w:tabs>
          <w:tab w:val="clear" w:pos="720"/>
          <w:tab w:val="left" w:pos="0" w:leader="none"/>
        </w:tabs>
        <w:ind w:left="709" w:hanging="283"/>
        <w:rPr/>
      </w:pPr>
      <w:r>
        <w:rPr/>
        <w:t>product/platform pages;</w:t>
      </w:r>
    </w:p>
    <w:p>
      <w:pPr>
        <w:pStyle w:val="TextBody"/>
        <w:numPr>
          <w:ilvl w:val="0"/>
          <w:numId w:val="2"/>
        </w:numPr>
        <w:tabs>
          <w:tab w:val="clear" w:pos="720"/>
          <w:tab w:val="left" w:pos="0" w:leader="none"/>
        </w:tabs>
        <w:ind w:left="709" w:hanging="283"/>
        <w:rPr/>
      </w:pPr>
      <w:r>
        <w:rPr/>
        <w:t>industry use-case pages;</w:t>
      </w:r>
    </w:p>
    <w:p>
      <w:pPr>
        <w:pStyle w:val="TextBody"/>
        <w:numPr>
          <w:ilvl w:val="0"/>
          <w:numId w:val="2"/>
        </w:numPr>
        <w:tabs>
          <w:tab w:val="clear" w:pos="720"/>
          <w:tab w:val="left" w:pos="0" w:leader="none"/>
        </w:tabs>
        <w:ind w:left="709" w:hanging="283"/>
        <w:rPr/>
      </w:pPr>
      <w:r>
        <w:rPr/>
        <w:t>“</w:t>
      </w:r>
      <w:r>
        <w:rPr/>
        <w:t>how it works” sections;</w:t>
      </w:r>
    </w:p>
    <w:p>
      <w:pPr>
        <w:pStyle w:val="TextBody"/>
        <w:numPr>
          <w:ilvl w:val="0"/>
          <w:numId w:val="2"/>
        </w:numPr>
        <w:tabs>
          <w:tab w:val="clear" w:pos="720"/>
          <w:tab w:val="left" w:pos="0" w:leader="none"/>
        </w:tabs>
        <w:ind w:left="709" w:hanging="283"/>
        <w:rPr/>
      </w:pPr>
      <w:r>
        <w:rPr/>
        <w:t>architecture diagrams;</w:t>
      </w:r>
    </w:p>
    <w:p>
      <w:pPr>
        <w:pStyle w:val="TextBody"/>
        <w:numPr>
          <w:ilvl w:val="0"/>
          <w:numId w:val="2"/>
        </w:numPr>
        <w:tabs>
          <w:tab w:val="clear" w:pos="720"/>
          <w:tab w:val="left" w:pos="0" w:leader="none"/>
        </w:tabs>
        <w:ind w:left="709" w:hanging="283"/>
        <w:rPr/>
      </w:pPr>
      <w:r>
        <w:rPr/>
        <w:t>dashboard/product screenshots;</w:t>
      </w:r>
    </w:p>
    <w:p>
      <w:pPr>
        <w:pStyle w:val="TextBody"/>
        <w:numPr>
          <w:ilvl w:val="0"/>
          <w:numId w:val="2"/>
        </w:numPr>
        <w:tabs>
          <w:tab w:val="clear" w:pos="720"/>
          <w:tab w:val="left" w:pos="0" w:leader="none"/>
        </w:tabs>
        <w:ind w:left="709" w:hanging="283"/>
        <w:rPr/>
      </w:pPr>
      <w:r>
        <w:rPr/>
        <w:t>case study format;</w:t>
      </w:r>
    </w:p>
    <w:p>
      <w:pPr>
        <w:pStyle w:val="TextBody"/>
        <w:numPr>
          <w:ilvl w:val="0"/>
          <w:numId w:val="2"/>
        </w:numPr>
        <w:tabs>
          <w:tab w:val="clear" w:pos="720"/>
          <w:tab w:val="left" w:pos="0" w:leader="none"/>
        </w:tabs>
        <w:ind w:left="709" w:hanging="283"/>
        <w:rPr/>
      </w:pPr>
      <w:r>
        <w:rPr/>
        <w:t>demo/request-consultation CTAs;</w:t>
      </w:r>
    </w:p>
    <w:p>
      <w:pPr>
        <w:pStyle w:val="TextBody"/>
        <w:numPr>
          <w:ilvl w:val="0"/>
          <w:numId w:val="2"/>
        </w:numPr>
        <w:tabs>
          <w:tab w:val="clear" w:pos="720"/>
          <w:tab w:val="left" w:pos="0" w:leader="none"/>
        </w:tabs>
        <w:ind w:left="709" w:hanging="283"/>
        <w:rPr/>
      </w:pPr>
      <w:r>
        <w:rPr/>
        <w:t>product maturity labels;</w:t>
      </w:r>
    </w:p>
    <w:p>
      <w:pPr>
        <w:pStyle w:val="TextBody"/>
        <w:numPr>
          <w:ilvl w:val="0"/>
          <w:numId w:val="2"/>
        </w:numPr>
        <w:tabs>
          <w:tab w:val="clear" w:pos="720"/>
          <w:tab w:val="left" w:pos="0" w:leader="none"/>
        </w:tabs>
        <w:ind w:left="709" w:hanging="283"/>
        <w:rPr/>
      </w:pPr>
      <w:r>
        <w:rPr/>
        <w:t>developer/resource pages;</w:t>
      </w:r>
    </w:p>
    <w:p>
      <w:pPr>
        <w:pStyle w:val="TextBody"/>
        <w:numPr>
          <w:ilvl w:val="0"/>
          <w:numId w:val="2"/>
        </w:numPr>
        <w:tabs>
          <w:tab w:val="clear" w:pos="720"/>
          <w:tab w:val="left" w:pos="0" w:leader="none"/>
        </w:tabs>
        <w:ind w:left="709" w:hanging="283"/>
        <w:rPr/>
      </w:pPr>
      <w:r>
        <w:rPr/>
        <w:t>trust-building language;</w:t>
      </w:r>
    </w:p>
    <w:p>
      <w:pPr>
        <w:pStyle w:val="TextBody"/>
        <w:numPr>
          <w:ilvl w:val="0"/>
          <w:numId w:val="2"/>
        </w:numPr>
        <w:tabs>
          <w:tab w:val="clear" w:pos="720"/>
          <w:tab w:val="left" w:pos="0" w:leader="none"/>
        </w:tabs>
        <w:ind w:left="709" w:hanging="283"/>
        <w:rPr/>
      </w:pPr>
      <w:r>
        <w:rPr/>
        <w:t>academy/training programme packaging.</w:t>
      </w:r>
    </w:p>
    <w:p>
      <w:pPr>
        <w:pStyle w:val="TextBody"/>
        <w:rPr/>
      </w:pPr>
      <w:r>
        <w:rPr/>
        <w:t xml:space="preserve">The most important lesson is this: AICORE should look like a </w:t>
      </w:r>
      <w:r>
        <w:rPr>
          <w:rStyle w:val="StrongEmphasis"/>
        </w:rPr>
        <w:t>systems engineering and product company</w:t>
      </w:r>
      <w:r>
        <w:rPr/>
        <w:t>, not a website agency. That aligns directly with your catalogue direction: AICORE builds intelligent systems, not generic digital products.</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StrongEmphasis">
    <w:name w:val="Strong Emphasis"/>
    <w:qFormat/>
    <w:rPr>
      <w:b/>
      <w:bCs/>
    </w:rPr>
  </w:style>
  <w:style w:type="character" w:styleId="Internet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ofteq.com/?utm_source=chatgpt.com" TargetMode="External"/><Relationship Id="rId3" Type="http://schemas.openxmlformats.org/officeDocument/2006/relationships/hyperlink" Target="https://www.verytechnology.com/services/iot-product-development?utm_source=chatgpt.com" TargetMode="External"/><Relationship Id="rId4" Type="http://schemas.openxmlformats.org/officeDocument/2006/relationships/hyperlink" Target="https://www.uipath.com/platform/agentic-automation?utm_source=chatgpt.com" TargetMode="External"/><Relationship Id="rId5" Type="http://schemas.openxmlformats.org/officeDocument/2006/relationships/hyperlink" Target="https://n8n.io/?utm_source=chatgpt.com" TargetMode="External"/><Relationship Id="rId6" Type="http://schemas.openxmlformats.org/officeDocument/2006/relationships/hyperlink" Target="https://www.clay.com/?utm_source=chatgpt.com" TargetMode="External"/><Relationship Id="rId7" Type="http://schemas.openxmlformats.org/officeDocument/2006/relationships/hyperlink" Target="https://www.hubspot.com/products/artificial-intelligence?utm_source=chatgpt.com" TargetMode="External"/><Relationship Id="rId8" Type="http://schemas.openxmlformats.org/officeDocument/2006/relationships/hyperlink" Target="https://www.salesforce.com/agentforce/?utm_source=chatgpt.com" TargetMode="External"/><Relationship Id="rId9" Type="http://schemas.openxmlformats.org/officeDocument/2006/relationships/hyperlink" Target="https://www.ptc.com/en/products/thingworx?srsltid=AfmBOooPLNe-q_0xhjelyysrw8gqvU8tfRHVTFxP99rSBOZ6RefrHdUX&amp;utm_source=chatgpt.com" TargetMode="External"/><Relationship Id="rId10" Type="http://schemas.openxmlformats.org/officeDocument/2006/relationships/hyperlink" Target="https://www.particle.io/?utm_source=chatgpt.com" TargetMode="External"/><Relationship Id="rId11" Type="http://schemas.openxmlformats.org/officeDocument/2006/relationships/hyperlink" Target="https://www.manh.com/solutions/supply-chain-management-software/warehouse-management?utm_source=chatgpt.com" TargetMode="External"/><Relationship Id="rId12" Type="http://schemas.openxmlformats.org/officeDocument/2006/relationships/hyperlink" Target="https://www.glean.com/product/assistant?utm_source=chatgpt.com" TargetMode="External"/><Relationship Id="rId13" Type="http://schemas.openxmlformats.org/officeDocument/2006/relationships/hyperlink" Target="https://sierra.ai/?utm_source=chatgpt.com" TargetMode="External"/><Relationship Id="rId14" Type="http://schemas.openxmlformats.org/officeDocument/2006/relationships/hyperlink" Target="https://www.hubspot.com/products/artificial-intelligence?utm_source=chatgpt.com" TargetMode="External"/><Relationship Id="rId15" Type="http://schemas.openxmlformats.org/officeDocument/2006/relationships/hyperlink" Target="https://www.salesforce.com/agentforce/?utm_source=chatgpt.com" TargetMode="External"/><Relationship Id="rId16" Type="http://schemas.openxmlformats.org/officeDocument/2006/relationships/hyperlink" Target="https://rossum.ai/?utm_source=chatgpt.com" TargetMode="External"/><Relationship Id="rId17" Type="http://schemas.openxmlformats.org/officeDocument/2006/relationships/hyperlink" Target="https://www.abbyy.com/?utm_source=chatgpt.com" TargetMode="External"/><Relationship Id="rId18" Type="http://schemas.openxmlformats.org/officeDocument/2006/relationships/hyperlink" Target="https://www.uipath.com/platform/agentic-automation?utm_source=chatgpt.com" TargetMode="External"/><Relationship Id="rId19" Type="http://schemas.openxmlformats.org/officeDocument/2006/relationships/hyperlink" Target="https://zapier.com/?utm_source=chatgpt.com" TargetMode="External"/><Relationship Id="rId20" Type="http://schemas.openxmlformats.org/officeDocument/2006/relationships/hyperlink" Target="https://www.make.com/en?utm_source=chatgpt.com" TargetMode="External"/><Relationship Id="rId21" Type="http://schemas.openxmlformats.org/officeDocument/2006/relationships/hyperlink" Target="https://n8n.io/?utm_source=chatgpt.com" TargetMode="External"/><Relationship Id="rId22" Type="http://schemas.openxmlformats.org/officeDocument/2006/relationships/hyperlink" Target="https://www.clay.com/?utm_source=chatgpt.com" TargetMode="External"/><Relationship Id="rId23" Type="http://schemas.openxmlformats.org/officeDocument/2006/relationships/hyperlink" Target="https://www.apollo.io/?utm_source=chatgpt.com" TargetMode="External"/><Relationship Id="rId24" Type="http://schemas.openxmlformats.org/officeDocument/2006/relationships/hyperlink" Target="https://www.softeq.com/embedded_system?utm_source=chatgpt.com" TargetMode="External"/><Relationship Id="rId25" Type="http://schemas.openxmlformats.org/officeDocument/2006/relationships/hyperlink" Target="https://www.verytechnology.com/services/iot-product-development?utm_source=chatgpt.com" TargetMode="External"/><Relationship Id="rId26" Type="http://schemas.openxmlformats.org/officeDocument/2006/relationships/hyperlink" Target="https://andersenlab.com/services/iot-development-services?utm_source=chatgpt.com" TargetMode="External"/><Relationship Id="rId27" Type="http://schemas.openxmlformats.org/officeDocument/2006/relationships/hyperlink" Target="https://www.advantech.com/emt?utm_source=chatgpt.com" TargetMode="External"/><Relationship Id="rId28" Type="http://schemas.openxmlformats.org/officeDocument/2006/relationships/hyperlink" Target="https://aws.amazon.com/iot-device-management/features/?utm_source=chatgpt.com" TargetMode="External"/><Relationship Id="rId29" Type="http://schemas.openxmlformats.org/officeDocument/2006/relationships/hyperlink" Target="https://azure.microsoft.com/en-us/products/iot-operations?utm_source=chatgpt.com" TargetMode="External"/><Relationship Id="rId30" Type="http://schemas.openxmlformats.org/officeDocument/2006/relationships/hyperlink" Target="https://www.particle.io/?utm_source=chatgpt.com" TargetMode="External"/><Relationship Id="rId31" Type="http://schemas.openxmlformats.org/officeDocument/2006/relationships/hyperlink" Target="https://datacake.co/?utm_source=chatgpt.com" TargetMode="External"/><Relationship Id="rId32" Type="http://schemas.openxmlformats.org/officeDocument/2006/relationships/hyperlink" Target="https://n3uron.com/?utm_source=chatgpt.com" TargetMode="External"/><Relationship Id="rId33" Type="http://schemas.openxmlformats.org/officeDocument/2006/relationships/hyperlink" Target="https://www.manh.com/solutions/supply-chain-management-software/warehouse-management?utm_source=chatgpt.com" TargetMode="External"/><Relationship Id="rId34" Type="http://schemas.openxmlformats.org/officeDocument/2006/relationships/hyperlink" Target="https://www.softeon.com/solutions/warehouse-management-system-wms/?utm_source=chatgpt.com" TargetMode="External"/><Relationship Id="rId35" Type="http://schemas.openxmlformats.org/officeDocument/2006/relationships/hyperlink" Target="https://www.odoo.com/app/inventory?utm_source=chatgpt.com" TargetMode="External"/><Relationship Id="rId36" Type="http://schemas.openxmlformats.org/officeDocument/2006/relationships/hyperlink" Target="https://www.sap.com/resources/what-is-a-warehouse-management-system-wms?utm_source=chatgpt.com" TargetMode="External"/><Relationship Id="rId37" Type="http://schemas.openxmlformats.org/officeDocument/2006/relationships/hyperlink" Target="https://tulip.co/?utm_source=chatgpt.com" TargetMode="External"/><Relationship Id="rId38" Type="http://schemas.openxmlformats.org/officeDocument/2006/relationships/hyperlink" Target="https://www.se.com/us/en/product-range/65404-ecostruxure-power-monitoring-expert/?utm_source=chatgpt.com" TargetMode="External"/><Relationship Id="rId39" Type="http://schemas.openxmlformats.org/officeDocument/2006/relationships/hyperlink" Target="https://www.siemens.com/en-us/products/industrial-edge/?utm_source=chatgpt.com" TargetMode="External"/><Relationship Id="rId40" Type="http://schemas.openxmlformats.org/officeDocument/2006/relationships/hyperlink" Target="https://www.samsara.com/?utm_source=chatgpt.com" TargetMode="External"/><Relationship Id="rId41" Type="http://schemas.openxmlformats.org/officeDocument/2006/relationships/hyperlink" Target="https://n3uron.com/?utm_source=chatgpt.com" TargetMode="External"/><Relationship Id="rId42" Type="http://schemas.openxmlformats.org/officeDocument/2006/relationships/hyperlink" Target="https://bostondynamics.com/?utm_source=chatgpt.com" TargetMode="External"/><Relationship Id="rId43" Type="http://schemas.openxmlformats.org/officeDocument/2006/relationships/hyperlink" Target="https://www.universal-robots.com/?utm_source=chatgpt.com" TargetMode="External"/><Relationship Id="rId44" Type="http://schemas.openxmlformats.org/officeDocument/2006/relationships/hyperlink" Target="https://www.arduino.cc/education?utm_source=chatgpt.com" TargetMode="External"/><Relationship Id="rId45" Type="http://schemas.openxmlformats.org/officeDocument/2006/relationships/hyperlink" Target="https://www.robotlab.com/classroom-robots?srsltid=AfmBOorM9pwYq7_qZAf4Zz2nWwPFZV_BDOqeIhXvmzLyBTLKIN4PjXoJ&amp;utm_source=chatgpt.com" TargetMode="Externa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7</Pages>
  <Words>1496</Words>
  <Characters>10433</Characters>
  <CharactersWithSpaces>11718</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2026-05-11T19:28:20Z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