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Руководство по составлению Decision Note для CaseMind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Назначение руководства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Данное руководство устанавливает стандарт составления качественных Decision Note (аналитических записок) в CaseMind. Decision Note — это первичный аудиторский артефакт аналитика: документальное свидетельство, демонстрирующее структурированное рассуждение внутренним проверяющим, аудиторам и регуляторам. Руководство обеспечивает выход документации за рамки подхода «отметить галочку», устанавливая чёткую связь между фактами, риск-интерпретациями и финальным решением.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Область применения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Руководство распространяется на все KYC/AML-анализы и учебные записки, формируемые в системе CaseMind. Оно предназначено для аналитиков уровня junior и middle, проводящих онбординг, плановые пересмотры и триггерные расследования. Руководство регулирует процесс составления записок, в котором ИИ поддерживает рассуждение, однако аналитик сохраняет полную ответственность за суждение и итоговый документ.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Что должна обеспечивать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CaseMind Decision Note — не просто сводка находок; это инструмент для: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Структурирования рассуждения: </w:t>
      </w:r>
      <w:r>
        <w:rPr>
          <w:rFonts w:ascii="Arial" w:cs="Arial" w:eastAsia="Arial" w:hAnsi="Arial"/>
          <w:sz w:val="22"/>
          <w:szCs w:val="22"/>
        </w:rPr>
        <w:t xml:space="preserve">обеспечения того, чтобы вся логика следовала установленному дереву решений (Decision Ladder).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Выявления пробелов: </w:t>
      </w:r>
      <w:r>
        <w:rPr>
          <w:rFonts w:ascii="Arial" w:cs="Arial" w:eastAsia="Arial" w:hAnsi="Arial"/>
          <w:sz w:val="22"/>
          <w:szCs w:val="22"/>
        </w:rPr>
        <w:t xml:space="preserve">определения того, какая информация отсутствует или не поддаётся верификации.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Снижения предвзятости: </w:t>
      </w:r>
      <w:r>
        <w:rPr>
          <w:rFonts w:ascii="Arial" w:cs="Arial" w:eastAsia="Arial" w:hAnsi="Arial"/>
          <w:sz w:val="22"/>
          <w:szCs w:val="22"/>
        </w:rPr>
        <w:t xml:space="preserve">использования Challenger View (альтернативной интерпретации) для рассмотрения легитимных объяснений рисковых паттернов.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Обеспечения защищаемости: </w:t>
      </w:r>
      <w:r>
        <w:rPr>
          <w:rFonts w:ascii="Arial" w:cs="Arial" w:eastAsia="Arial" w:hAnsi="Arial"/>
          <w:sz w:val="22"/>
          <w:szCs w:val="22"/>
        </w:rPr>
        <w:t xml:space="preserve">предоставления основанного на фактах обоснования, выдерживающего проверку старшим аналитиком или регулятором.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Обязательная структура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обеспечения единообразия и объяснимости каждая записка должна следовать данной структуре: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Сводка по клиенту: </w:t>
      </w:r>
      <w:r>
        <w:rPr>
          <w:rFonts w:ascii="Arial" w:cs="Arial" w:eastAsia="Arial" w:hAnsi="Arial"/>
          <w:sz w:val="22"/>
          <w:szCs w:val="22"/>
        </w:rPr>
        <w:t xml:space="preserve">краткая идентификация клиента, его отраслевой принадлежности и контекста проверки.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установлено (Signal Trace): </w:t>
      </w:r>
      <w:r>
        <w:rPr>
          <w:rFonts w:ascii="Arial" w:cs="Arial" w:eastAsia="Arial" w:hAnsi="Arial"/>
          <w:sz w:val="22"/>
          <w:szCs w:val="22"/>
        </w:rPr>
        <w:t xml:space="preserve">краткий перечень из 2–5 конкретных наблюдаемых фактов, выявленных в ходе проверки.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отсутствует: </w:t>
      </w:r>
      <w:r>
        <w:rPr>
          <w:rFonts w:ascii="Arial" w:cs="Arial" w:eastAsia="Arial" w:hAnsi="Arial"/>
          <w:sz w:val="22"/>
          <w:szCs w:val="22"/>
        </w:rPr>
        <w:t xml:space="preserve">чёткое изложение остающихся информационных пробелов или документов, в предоставлении которых клиент отказал.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вызвало вопросы: </w:t>
      </w:r>
      <w:r>
        <w:rPr>
          <w:rFonts w:ascii="Arial" w:cs="Arial" w:eastAsia="Arial" w:hAnsi="Arial"/>
          <w:sz w:val="22"/>
          <w:szCs w:val="22"/>
        </w:rPr>
        <w:t xml:space="preserve">выявление конкретных индикаторов риска, например, признаков TBML или подозрительных паттернов операций.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риск значим: </w:t>
      </w:r>
      <w:r>
        <w:rPr>
          <w:rFonts w:ascii="Arial" w:cs="Arial" w:eastAsia="Arial" w:hAnsi="Arial"/>
          <w:sz w:val="22"/>
          <w:szCs w:val="22"/>
        </w:rPr>
        <w:t xml:space="preserve">интерпретация экономической реальности деятельности клиента и обоснование того, почему выявленные риски выходят за рамки риск-аппетита.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следует именно этот исход: </w:t>
      </w:r>
      <w:r>
        <w:rPr>
          <w:rFonts w:ascii="Arial" w:cs="Arial" w:eastAsia="Arial" w:hAnsi="Arial"/>
          <w:sz w:val="22"/>
          <w:szCs w:val="22"/>
        </w:rPr>
        <w:t xml:space="preserve">логическая связь между фактами и выбранным исходом (Approve, EDD или Reject).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Challenger View: </w:t>
      </w:r>
      <w:r>
        <w:rPr>
          <w:rFonts w:ascii="Arial" w:cs="Arial" w:eastAsia="Arial" w:hAnsi="Arial"/>
          <w:sz w:val="22"/>
          <w:szCs w:val="22"/>
        </w:rPr>
        <w:t xml:space="preserve">краткое опровержение ближайшего альтернативного исхода (например, почему пробел является структурным CDD Failure, а не устранимым через EDD).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Обязательные элементы содержания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Защищаемая записка должна включать: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Корректный статус CDD: точная классификация как CDD Complete, Incomplete (Closable) или Failure (Structural).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Чёткий исход: один из трёх режимов решения — Approve, EDD или Reject.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Decisive Factor: единственная, точная формулировка основной причины решения.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Конкретная фактическая основа: каждый вывод должен опираться на Signal Trace.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Нейтральное рассуждение: профессиональный язык, фокусирующийся на факторах риска, а не на личных подозрениях.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Защищаемый вывод: обоснование, оправдывающее решение даже при отсутствии идеальной документации (приоритет сути над формой).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Правила стиля изложения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Нейтральность и профессионализм: </w:t>
      </w:r>
      <w:r>
        <w:rPr>
          <w:rFonts w:ascii="Arial" w:cs="Arial" w:eastAsia="Arial" w:hAnsi="Arial"/>
          <w:sz w:val="22"/>
          <w:szCs w:val="22"/>
        </w:rPr>
        <w:t xml:space="preserve">объективный язык, отсутствие эмоционально окрашенных оценочных суждений.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Лаконичность: </w:t>
      </w:r>
      <w:r>
        <w:rPr>
          <w:rFonts w:ascii="Arial" w:cs="Arial" w:eastAsia="Arial" w:hAnsi="Arial"/>
          <w:sz w:val="22"/>
          <w:szCs w:val="22"/>
        </w:rPr>
        <w:t xml:space="preserve">фокус на наиболее значимых факторах риска и Decisive Factor.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Разграничение фактов и интерпретаций: </w:t>
      </w:r>
      <w:r>
        <w:rPr>
          <w:rFonts w:ascii="Arial" w:cs="Arial" w:eastAsia="Arial" w:hAnsi="Arial"/>
          <w:sz w:val="22"/>
          <w:szCs w:val="22"/>
        </w:rPr>
        <w:t xml:space="preserve">факты формулируются как объективные наблюдения («клиент использует адрес массовой регистрации»), интерпретации — как риск-суждения («это указывает на потенциальную оболочечную структуру»).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Запрет на неподкреплённые выводы: </w:t>
      </w:r>
      <w:r>
        <w:rPr>
          <w:rFonts w:ascii="Arial" w:cs="Arial" w:eastAsia="Arial" w:hAnsi="Arial"/>
          <w:sz w:val="22"/>
          <w:szCs w:val="22"/>
        </w:rPr>
        <w:t xml:space="preserve">каждое риск-утверждение должно ссылаться на сигнал из Signal Trace.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Запрет на размытые обобщения: </w:t>
      </w:r>
      <w:r>
        <w:rPr>
          <w:rFonts w:ascii="Arial" w:cs="Arial" w:eastAsia="Arial" w:hAnsi="Arial"/>
          <w:sz w:val="22"/>
          <w:szCs w:val="22"/>
        </w:rPr>
        <w:t xml:space="preserve">недопустимо использование «высокий риск» как общего заключения; необходимо указывать конкретную природу риска (например, «SoF не верифицирован»).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Слабые vs. сильные формулировки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 (незащищаемо)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Сильно (стандарт CaseMind)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Факт vs. интерпретация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«Клиент очень подозрителен.»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«IP-адрес, использованный в транзакции, замаскирован через VPN — это сигнал географического сокрытия.»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Decisive 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«Отказываю, потому что много индикаторов риска.»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«Основная причина отказа — использование клиентом формальных номинальных лиц для сокрытия личности номинанта, что является структурным CDD Failure.»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«Клиент явно занимается отмыванием денег.»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«Паттерны операций соответствуют активности транзитного счёта («pay-through»), характерной для профессиональных схем легализации средств.»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Пробелы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«Некоторых документов нет.»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«Source of Wealth (источник происхождения состояния) по первоначальному депозиту на сумму 1 млн USD остаётся неверифицированным после двух RFI.»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Типичные ошибки при составлении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Избыточная уверенность без доказательств: трактовка индикатора риска как окончательного доказательства преступления вместо основания для расследования.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Смешение подозрений с доказательствами: использование обвинительных формулировок, компрометирующих аудиторский след.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Перечисление индикаторов риска без анализа: перечисление фактов без объяснения того, как они в совокупности формируют неприемлемый риск.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Факты без связи с решением: отсутствие демонстрации того, как Signal Trace логически ведёт к финальному решению.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Аккуратно написанная записка со слабой логикой: приоритет «идеальных формулировок» над корректностью статуса CDD и исхода.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Чек-лист аналитика перед утверждением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Разграничение: чётко ли отделены факты Signal Trace от риск-анализа?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Логика: поддерживает ли Decisive Factor напрямую выбранный исход?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Корректность CDD: правильно ли разграничены «устранимый пробел» (EDD) и «структурный барьер» (CDD Failure)?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Нейтральность: составлена ли записка на профессиональном, необвинительном языке?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Доказательная база: содержит ли Signal Trace не менее 2–5 конкретных наблюдаемых фактов?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Challenger View: задокументировано ли, почему ближайший альтернативный исход был отклонён?</w:t>
      </w:r>
    </w:p>
    <w:p>
      <w:pPr>
        <w:spacing w:before="8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Открытые вопросы для дизайна продукта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Обязательность шаблона: должен ли CaseMind принудительно использовать жёсткий шаблон для Decision Note, или это должна быть свободная форма составления с ИИ-поддержкой структуры?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ИИ-участия: должен ли ИИ предлагать первый черновик «Интерпретации» и Challenger View автоматически, или только после того, как аналитик введёт свои первоначальные мысли?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Языковая политика: насколько жёстко CaseMind должен обеспечивать русскоязычный текст вокруг английских compliance-терминов (например, «UBO», «SoF»)?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Фрейм обратной связи: если логика записки верна, но изложение слабое, должен ли балл снижаться, или качество письма остаётся отдельным, ненормируемым комментарием?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 составления: должна ли система фиксировать каждую итерацию Decision Note как часть аудиторского артефакта, или только финальную утверждённую версию?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2026-04-04T07:58:50.560Z</dcterms:created>
  <dcterms:modified xsi:type="dcterms:W3CDTF">2026-04-04T07:58:50.560Z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