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Pojem a význam práva , právo soukromá odvětví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právo jako věda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právo= soubor norem vydaných státem, který dohlíží na jejich dodržování ( porušení- sankce)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právní věda </w:t>
      </w:r>
    </w:p>
    <w:p w:rsidR="00000000" w:rsidDel="00000000" w:rsidP="00000000" w:rsidRDefault="00000000" w:rsidRPr="00000000" w14:paraId="00000005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studium všech právních jevů ( právní vztahy, vznikem a postavením práva ve společnosti,stát a právo atd.)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podobory:právní filosofie, právní dogmatika( právo jako normativní systém), právní antropologie, historie, sociologie, psychologie, teorie legislativy, právní logika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tento soubor norem reguluje chování společnosti a pomocí zákazů, příkazů a dovolení stanovuje, jaké chování ve společenských vztazích má být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tvorba práva je závislá na státu , vznik a existence práva je důsledek vzájemného chování lidí ve společnosti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reguluje chování subjektů práva a zároveň zaručuje míru jejich svobod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tato vymezuje Ústava ČR takto: státní moc slouží všem občanům a lze ji uplatňovat jen v případech, v mezích a způsoby, které stanoví zákon;každý občan může činit, co není zákonem zakázáno, a nikdo nesmí  být nucen činit, co zákon neukládá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základní členění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subjektivní právo – souhrn oprávnění, dovoleného chování subjektů práva ( fyzické či právnické osoby); svoboda jedince končí na hranicích svobody druhého, např. Volební právo ( můžu a nemusím), právní institut 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objektivní právo – soupis všech obecně závazných pravidel chování, všech možností, co smíme, nesmíme nebo musíme; závazné pro všechny;obsaženo v právních normách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dějiny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od počátku si každá společnost stanovuje určitá pravidla chování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právo jako řád, jenž přiznává možnost chovat se určitým způsobem nejprve jen ve vědomí lidí = právo zvykové(obyčejové)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později obyčejové předpisy sjednocovány a zveřejňovány jako právo psané( kodifikace)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mezníky: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Chammurapiho zákoník 17. století př. n. l.</w:t>
      </w:r>
    </w:p>
    <w:p w:rsidR="00000000" w:rsidDel="00000000" w:rsidP="00000000" w:rsidRDefault="00000000" w:rsidRPr="00000000" w14:paraId="00000014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Obsahoval ustanovení práva občanského, trestního a obchodního</w:t>
      </w:r>
    </w:p>
    <w:p w:rsidR="00000000" w:rsidDel="00000000" w:rsidP="00000000" w:rsidRDefault="00000000" w:rsidRPr="00000000" w14:paraId="00000015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vytesán do kamenné desky a umístěn na veřejném místě</w:t>
      </w:r>
    </w:p>
    <w:p w:rsidR="00000000" w:rsidDel="00000000" w:rsidP="00000000" w:rsidRDefault="00000000" w:rsidRPr="00000000" w14:paraId="00000016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princip odvety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Zákon dvanácti desek (duo decim tabularum) – římské právo 5. století př. n. l.</w:t>
      </w:r>
    </w:p>
    <w:p w:rsidR="00000000" w:rsidDel="00000000" w:rsidP="00000000" w:rsidRDefault="00000000" w:rsidRPr="00000000" w14:paraId="00000018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Na dvanácti tabulích shrnuto obyčejové právo rodinné, sousedské, dědické, trestní, správní a procesní</w:t>
      </w:r>
    </w:p>
    <w:p w:rsidR="00000000" w:rsidDel="00000000" w:rsidP="00000000" w:rsidRDefault="00000000" w:rsidRPr="00000000" w14:paraId="00000019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vymohli si plebejové (nepsané právo nespravedlivé)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Corpus iuris civilis 6.století 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čtyřdílný občanský zákoník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byzantský císař Justinián I. nechal shrnout tehdejší římské právo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neomezená světská i duchovní moc císaře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Zákon sudnyj ljudem 9.století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nejstarší slovanská právní památka, Velká Morava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předpisy trestního a rodinného práva, které vytvořili jako překlad římského zákoníku Cyril a Metoděj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středověk</w:t>
      </w:r>
    </w:p>
    <w:p w:rsidR="00000000" w:rsidDel="00000000" w:rsidP="00000000" w:rsidRDefault="00000000" w:rsidRPr="00000000" w14:paraId="00000022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tzv. Ordály = boží soudy – chození do vody svázaný- utopí se vinen</w:t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hlavní moc církev, topení čarodějnic atd.; u nás zakázal Karel IV.</w:t>
      </w:r>
    </w:p>
    <w:p w:rsidR="00000000" w:rsidDel="00000000" w:rsidP="00000000" w:rsidRDefault="00000000" w:rsidRPr="00000000" w14:paraId="00000024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Regal= práva udělovaná městům</w:t>
      </w:r>
    </w:p>
    <w:p w:rsidR="00000000" w:rsidDel="00000000" w:rsidP="00000000" w:rsidRDefault="00000000" w:rsidRPr="00000000" w14:paraId="00000025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v 16. století vznikají práva zemská a právní knihy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Magna chartum libertatum</w:t>
      </w:r>
    </w:p>
    <w:p w:rsidR="00000000" w:rsidDel="00000000" w:rsidP="00000000" w:rsidRDefault="00000000" w:rsidRPr="00000000" w14:paraId="00000027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Code civil 1804</w:t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z podnětu Napoleona I.</w:t>
      </w:r>
    </w:p>
    <w:p w:rsidR="00000000" w:rsidDel="00000000" w:rsidP="00000000" w:rsidRDefault="00000000" w:rsidRPr="00000000" w14:paraId="0000002A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vzorem pro ostatní evropské země</w:t>
      </w:r>
    </w:p>
    <w:p w:rsidR="00000000" w:rsidDel="00000000" w:rsidP="00000000" w:rsidRDefault="00000000" w:rsidRPr="00000000" w14:paraId="0000002B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upravoval především majetkové a rodinné poměry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 na našem území tereziánský a josefínský trestní kodex, tereziánský kodex soukromého práva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 v roce 1811 císařský patent Všeobecný zákoník občanský ( v některých bodech až do roku 1950)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právní kultury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evropské právo kontinentální (kodexové)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vydělilo se z práva římského (recepcí)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naše právo sem spadá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dominance zákonného práva (ostatní prameny zanedbatelné)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idea kodifikace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angloamerická (common law) – právo soudcovské, anglosaské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zákonodárná moc u jednotlivců (soudci z house of lords)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vznikla v Anglii – kolonizace – celá britská říše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jedna třetina světové populace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USA, Kanada, Austrálie, Nový Zéland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Indie, Nigérie, Egypt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Irsko, Malta, Kypr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založeny na principu stare decisis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závazné precedenty: tvůrce i vázaný jsou součástí stejné soudní soustavy; tvůrce stojí výše v systému než vázaný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přesvědčivé precedenty – ostatní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islámské právo = šária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základním a jediným právním pramenem je Korán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princip personality, vztahuje se na všechny muslimy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teritoriální prvek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postrádá členění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lze mluvit o přirozeném právu sui generis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Africké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může svědčit i kámen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tradiční kmenové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animistické -uznávání mýtů, zvířat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Indické právo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kastovní systém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upalování žen na hranici se svým mužem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Čínsko – japonské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Samurajský kodex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dříve mizivé postavení ženy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prameny: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formy,ve kterých je obsaženo objektivní právo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druhy: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normativní právní akty (tzv. Právní předpisy)</w:t>
      </w:r>
    </w:p>
    <w:p w:rsidR="00000000" w:rsidDel="00000000" w:rsidP="00000000" w:rsidRDefault="00000000" w:rsidRPr="00000000" w14:paraId="00000055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všeobecně závazný právní předpis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charakter zákona, zákonného opatření, vyhlášky, vládního nařízení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právní obyčeje, zvyklosti</w:t>
      </w:r>
    </w:p>
    <w:p w:rsidR="00000000" w:rsidDel="00000000" w:rsidP="00000000" w:rsidRDefault="00000000" w:rsidRPr="00000000" w14:paraId="00000058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pokud je dlouhodobě a masově zachován, je dostatečně určitý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soudní precedenty (soudcovské právo)</w:t>
      </w:r>
    </w:p>
    <w:p w:rsidR="00000000" w:rsidDel="00000000" w:rsidP="00000000" w:rsidRDefault="00000000" w:rsidRPr="00000000" w14:paraId="0000005C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ve formě soudního rozhodnutí, kterým se řídí případy dosud neupravené</w:t>
      </w:r>
    </w:p>
    <w:p w:rsidR="00000000" w:rsidDel="00000000" w:rsidP="00000000" w:rsidRDefault="00000000" w:rsidRPr="00000000" w14:paraId="0000005D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slouží jako vzor pro rozhodování v budoucnosti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normativní smlouvy </w:t>
      </w:r>
    </w:p>
    <w:p w:rsidR="00000000" w:rsidDel="00000000" w:rsidP="00000000" w:rsidRDefault="00000000" w:rsidRPr="00000000" w14:paraId="0000005F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jsou- li její ustanovení obecná a pokud reguluje celou skupinu právních vztahů</w:t>
      </w:r>
    </w:p>
    <w:p w:rsidR="00000000" w:rsidDel="00000000" w:rsidP="00000000" w:rsidRDefault="00000000" w:rsidRPr="00000000" w14:paraId="00000060">
      <w:pPr>
        <w:numPr>
          <w:ilvl w:val="3"/>
          <w:numId w:val="9"/>
        </w:numPr>
        <w:ind w:left="1800" w:hanging="360"/>
        <w:rPr/>
      </w:pPr>
      <w:r w:rsidDel="00000000" w:rsidR="00000000" w:rsidRPr="00000000">
        <w:rPr>
          <w:rtl w:val="0"/>
        </w:rPr>
        <w:t xml:space="preserve">hlavním pramenem práva mezinárodního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psané, nepsané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právní řád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souhrn všech právních pramenů (zákonů), jež platí v určitém státě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každý stát má svůj vlastní a vyžaduje jeho dodržování po vlastních občanech i cizincích, kteří pobývají na jeho území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každý je vázán právním řádem svého státu, i když pobývá na území státu jiného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náš právní řád je uspořádán stupňovitě podle důležitosti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právní síla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vlastnost právní normy, jež ji činní nadřazenou jiné právní normě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vyjadřuje ji místo právního předpisu v právním řádě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právní předpis</w:t>
      </w:r>
    </w:p>
    <w:p w:rsidR="00000000" w:rsidDel="00000000" w:rsidP="00000000" w:rsidRDefault="00000000" w:rsidRPr="00000000" w14:paraId="0000006B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způsob tvorby práva představující obecně závazné normativní právní akty, které jsou výsledkem legislativní činnosti státních orgánů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pyramida právní síly: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165100</wp:posOffset>
            </wp:positionV>
            <wp:extent cx="2146935" cy="165227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652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právní norma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závazné pravidlo chování, které je vyjádřeno zvláštní, státem uznanou formou a jehož zachovaní je státní mocí vynutitelné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nedodržení je většinou sankcionované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struktura: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hypotéza= stanoví podmínky, za nichž se má realizovat pravidlo chování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dispozice= vlastní pravidlo chování, přičemž stanovuje, komu a jaká oprávnění a povinnosti vznikají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sankce= stanoví nepříznivé následky porušení normy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platnost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norma je platná pokud prošla legislativním procesem a byly splněny všechny náležitosti pro přijetí 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norma vchází v platnost dnem jejího vydání ve Sbírce zákonů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účinnost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okamžik, kdy práva a povinnosti stanovené normou jsou závazné 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den bývá určen v předpisech, jinak 15. den po vyhlášení normy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doba mezi = vaccatio legis 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působnost 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vymezuje rozsah použití normy na konkrétní případ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oblast, kterou norma svým záměrem postihuje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osobní, místní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systém práva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obvykle se dělí ze tří hledisek: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právo mezinárodní a vnitrostátní: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mezinárodní – vztahy mezi různými státy, mezi státy a mezinárodními organizacemi či mezinárodními organizacemi navzájem</w:t>
      </w:r>
    </w:p>
    <w:p w:rsidR="00000000" w:rsidDel="00000000" w:rsidP="00000000" w:rsidRDefault="00000000" w:rsidRPr="00000000" w14:paraId="00000090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vnitrostátní – vytvářeno určitým státem, platí na jeho území a pro jeho obyvatele ( fyzické i právnické)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právo veřejné a hmotné:</w:t>
      </w:r>
    </w:p>
    <w:p w:rsidR="00000000" w:rsidDel="00000000" w:rsidP="00000000" w:rsidRDefault="00000000" w:rsidRPr="00000000" w14:paraId="00000092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veřejné – vztahy mezi orgány veřejné moci a občany</w:t>
      </w:r>
    </w:p>
    <w:p w:rsidR="00000000" w:rsidDel="00000000" w:rsidP="00000000" w:rsidRDefault="00000000" w:rsidRPr="00000000" w14:paraId="00000093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soukromé – vztahy mezi občany navzájem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právo hmotné a procesní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hmotné – souhrnem právních norem, které směřují k naplnění účelu práva a jsou smyslem právní úpravy (kupní smlouva) ; stanoví státem závazná a vynutitelná pravidla chování</w:t>
      </w:r>
    </w:p>
    <w:p w:rsidR="00000000" w:rsidDel="00000000" w:rsidP="00000000" w:rsidRDefault="00000000" w:rsidRPr="00000000" w14:paraId="00000096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procesní – slouží k naplnění účelu právní normy zprostředkovaně, úprava postupu orgánů veřejné moci při ochraně a vytváření subjektivních hmotných práv (žaloba); určuje postup jednotlivce a státních orgánů při porušení práva a způsob sankcionování např. Jednání u soudu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Veřejné a soukromé právo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veřejné</w:t>
      </w:r>
    </w:p>
    <w:p w:rsidR="00000000" w:rsidDel="00000000" w:rsidP="00000000" w:rsidRDefault="00000000" w:rsidRPr="00000000" w14:paraId="0000009A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stát má nadřazenou pozici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právní normy, které sledují vztahy mezi státem jako nositelem státní moci a fyzickými nebo právnickými osobami</w:t>
      </w:r>
    </w:p>
    <w:p w:rsidR="00000000" w:rsidDel="00000000" w:rsidP="00000000" w:rsidRDefault="00000000" w:rsidRPr="00000000" w14:paraId="0000009C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zahrnuje : ústavní, trestní, správní, finanční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soukromé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založeno na principu rovnosti rovnosti a nezávislosti subjektů občanské společnosti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rovné postavení všech subjektů (stát je na stejné úrovni jako my)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zahrnuje: rodinné, občanské, obchodní, pracovní – někdy neřazeno,neboť má smíšenou povahu, mezinárodní právo soukromé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Soukromé právo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Občanské právo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zahrnuje právní normy upravující majetkové vztahy fyzických a právnických osob a vztahy, které vyplývají na ochranu osobnosti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normy dispozitivní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základem je Nový občanský zákoník (2014) – obsahuje i rodinné a obchodní právo ( zrušil zákon o rodině a obchodní zákoník)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09" w:firstLine="0"/>
        <w:rPr/>
      </w:pPr>
      <w:r w:rsidDel="00000000" w:rsidR="00000000" w:rsidRPr="00000000">
        <w:rPr>
          <w:rtl w:val="0"/>
        </w:rPr>
        <w:t xml:space="preserve"> Nový občanský zákoník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29" w:hanging="360"/>
        <w:rPr/>
      </w:pPr>
      <w:r w:rsidDel="00000000" w:rsidR="00000000" w:rsidRPr="00000000">
        <w:rPr>
          <w:rtl w:val="0"/>
        </w:rPr>
        <w:t xml:space="preserve">rozdělen do pěti částí: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29" w:hanging="360"/>
        <w:rPr/>
      </w:pPr>
      <w:r w:rsidDel="00000000" w:rsidR="00000000" w:rsidRPr="00000000">
        <w:rPr>
          <w:rtl w:val="0"/>
        </w:rPr>
        <w:t xml:space="preserve">Obecná část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základní definice, obecně o fyzických a právnických osobách, zastoupení, věci, právní skutečnosti atd.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29" w:hanging="360"/>
        <w:rPr/>
      </w:pPr>
      <w:r w:rsidDel="00000000" w:rsidR="00000000" w:rsidRPr="00000000">
        <w:rPr>
          <w:rtl w:val="0"/>
        </w:rPr>
        <w:t xml:space="preserve">Rodinná práva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upravuje vznik a zánik manželství, vztahy mezi manželi, rodiči, dětmi a dalším i příbuznými, vztahy při náhradní výchově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oblasti: manželství a registrované partnerství, manželské majetkové právo, příbuzenství a švagrovství, jiné formy péče o dítě, výživné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ochrana manželství, rodiny, mateřství a zájmů dětí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manželství = trvalý svazek muže a ženy vzniklý stanoveným způsobem; svobodný a úplný souhlasný projev vůle muže a ženy, že spolu vstupují do manželství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občanský a církevní sňatek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v manželství stejná práva a povinnosti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zaniká smrtí, prohlášením za mrtvého jedno z manželů nebo rozvodem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u nezletilých dětí se rozhoduje i o jejich právech a povinnostech k dítěti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předmanželská smlouva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příbuzenství a švagrovství = příbuzenský vztah osob je založený na pokrevním poutu, nebo vzniklý osvojením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švagrovství vzniká vznikem manželství mezi manželem a příbuznými druhého manžela ( smrtí jednoho z nich tento vztah nezaniká)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789" w:hanging="360"/>
        <w:rPr/>
      </w:pPr>
      <w:r w:rsidDel="00000000" w:rsidR="00000000" w:rsidRPr="00000000">
        <w:rPr>
          <w:rtl w:val="0"/>
        </w:rPr>
        <w:t xml:space="preserve">poměry mezi rodiči a dětmi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výživa a výchova dítěte, ochrana, péče; povinnost dbát svých rodičů, udržovat kontakt, vyjádřit se, svoboda projevu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zabývá se určováním rodičovství, osvojením, právy a povinnostmi mezi dětmi a rodiči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osvojení= právně vytvořené rodinné pouto, vzniká stejný poměr, jaký je mezi rodiči a dětmi, zanikají příbuzenské vztahy z původní rodiny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49" w:hanging="360"/>
        <w:rPr/>
      </w:pPr>
      <w:r w:rsidDel="00000000" w:rsidR="00000000" w:rsidRPr="00000000">
        <w:rPr>
          <w:rtl w:val="0"/>
        </w:rPr>
        <w:t xml:space="preserve">poručenství a jiné péče o dítě:</w:t>
      </w:r>
    </w:p>
    <w:p w:rsidR="00000000" w:rsidDel="00000000" w:rsidP="00000000" w:rsidRDefault="00000000" w:rsidRPr="00000000" w14:paraId="000000BD">
      <w:pPr>
        <w:ind w:left="2127" w:firstLine="0"/>
        <w:rPr/>
      </w:pPr>
      <w:r w:rsidDel="00000000" w:rsidR="00000000" w:rsidRPr="00000000">
        <w:rPr>
          <w:rtl w:val="0"/>
        </w:rPr>
        <w:t xml:space="preserve">poručenství – nemá vyživovací povinnosti</w:t>
      </w:r>
    </w:p>
    <w:p w:rsidR="00000000" w:rsidDel="00000000" w:rsidP="00000000" w:rsidRDefault="00000000" w:rsidRPr="00000000" w14:paraId="000000BE">
      <w:pPr>
        <w:ind w:left="2127" w:firstLine="0"/>
        <w:rPr/>
      </w:pPr>
      <w:r w:rsidDel="00000000" w:rsidR="00000000" w:rsidRPr="00000000">
        <w:rPr>
          <w:rtl w:val="0"/>
        </w:rPr>
        <w:t xml:space="preserve">opatrovnictví – pouze v tom, co vymezí soud (střet zájmů)</w:t>
      </w:r>
    </w:p>
    <w:p w:rsidR="00000000" w:rsidDel="00000000" w:rsidP="00000000" w:rsidRDefault="00000000" w:rsidRPr="00000000" w14:paraId="000000BF">
      <w:pPr>
        <w:ind w:left="2127" w:firstLine="0"/>
        <w:rPr/>
      </w:pPr>
      <w:r w:rsidDel="00000000" w:rsidR="00000000" w:rsidRPr="00000000">
        <w:rPr>
          <w:rtl w:val="0"/>
        </w:rPr>
        <w:t xml:space="preserve">svěření do péče a pěstounství </w:t>
      </w:r>
    </w:p>
    <w:p w:rsidR="00000000" w:rsidDel="00000000" w:rsidP="00000000" w:rsidRDefault="00000000" w:rsidRPr="00000000" w14:paraId="000000C0">
      <w:pPr>
        <w:ind w:left="2127" w:firstLine="0"/>
        <w:rPr/>
      </w:pPr>
      <w:r w:rsidDel="00000000" w:rsidR="00000000" w:rsidRPr="00000000">
        <w:rPr>
          <w:rtl w:val="0"/>
        </w:rPr>
        <w:t xml:space="preserve">ústavní výchova – dětské domovy, klokánky, kojenecký ústav</w:t>
      </w:r>
    </w:p>
    <w:p w:rsidR="00000000" w:rsidDel="00000000" w:rsidP="00000000" w:rsidRDefault="00000000" w:rsidRPr="00000000" w14:paraId="000000C1">
      <w:pPr>
        <w:ind w:left="21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Absolutní majetková práva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věcná práva</w:t>
      </w:r>
    </w:p>
    <w:p w:rsidR="00000000" w:rsidDel="00000000" w:rsidP="00000000" w:rsidRDefault="00000000" w:rsidRPr="00000000" w14:paraId="000000C4">
      <w:pPr>
        <w:numPr>
          <w:ilvl w:val="2"/>
          <w:numId w:val="4"/>
        </w:numPr>
        <w:ind w:left="2149" w:hanging="360"/>
        <w:rPr/>
      </w:pPr>
      <w:r w:rsidDel="00000000" w:rsidR="00000000" w:rsidRPr="00000000">
        <w:rPr>
          <w:rtl w:val="0"/>
        </w:rPr>
        <w:t xml:space="preserve">charakterizována vztahem osoby k věci, jejíž právní osud sledují, působí i vně závazku – vůči dalším osobám, které jsou povinny zdržet se zásahů do práva </w:t>
      </w:r>
    </w:p>
    <w:p w:rsidR="00000000" w:rsidDel="00000000" w:rsidP="00000000" w:rsidRDefault="00000000" w:rsidRPr="00000000" w14:paraId="000000C5">
      <w:pPr>
        <w:numPr>
          <w:ilvl w:val="2"/>
          <w:numId w:val="4"/>
        </w:numPr>
        <w:ind w:left="2149" w:hanging="360"/>
        <w:rPr/>
      </w:pPr>
      <w:r w:rsidDel="00000000" w:rsidR="00000000" w:rsidRPr="00000000">
        <w:rPr>
          <w:rtl w:val="0"/>
        </w:rPr>
        <w:t xml:space="preserve">vlastnictví – respektovat práva vlastníka( nesmí poškodit, zničit, ukrást); právo na ochranu proti tomu, kdo do jeho vlastnictví nedovoleně zasahuje, musí respektovat vlastnictví jiného; lze získat smlouvou, děděním, rozhodnutím správního orgánu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dědické právo </w:t>
      </w:r>
    </w:p>
    <w:p w:rsidR="00000000" w:rsidDel="00000000" w:rsidP="00000000" w:rsidRDefault="00000000" w:rsidRPr="00000000" w14:paraId="000000C7">
      <w:pPr>
        <w:numPr>
          <w:ilvl w:val="2"/>
          <w:numId w:val="4"/>
        </w:numPr>
        <w:ind w:left="2149" w:hanging="360"/>
        <w:rPr/>
      </w:pPr>
      <w:r w:rsidDel="00000000" w:rsidR="00000000" w:rsidRPr="00000000">
        <w:rPr>
          <w:rtl w:val="0"/>
        </w:rPr>
        <w:t xml:space="preserve">právo na pozůstalost nebo poměrný díl z ní</w:t>
      </w:r>
    </w:p>
    <w:p w:rsidR="00000000" w:rsidDel="00000000" w:rsidP="00000000" w:rsidRDefault="00000000" w:rsidRPr="00000000" w14:paraId="000000C8">
      <w:pPr>
        <w:numPr>
          <w:ilvl w:val="2"/>
          <w:numId w:val="4"/>
        </w:numPr>
        <w:ind w:left="2149" w:hanging="360"/>
        <w:rPr/>
      </w:pPr>
      <w:r w:rsidDel="00000000" w:rsidR="00000000" w:rsidRPr="00000000">
        <w:rPr>
          <w:rtl w:val="0"/>
        </w:rPr>
        <w:t xml:space="preserve">pozůstalost tvoří celé jmění zůstavitele, kromě práv a povinností vázaných výlučně na jeho osobu</w:t>
      </w:r>
    </w:p>
    <w:p w:rsidR="00000000" w:rsidDel="00000000" w:rsidP="00000000" w:rsidRDefault="00000000" w:rsidRPr="00000000" w14:paraId="000000C9">
      <w:pPr>
        <w:numPr>
          <w:ilvl w:val="2"/>
          <w:numId w:val="4"/>
        </w:numPr>
        <w:ind w:left="2149" w:hanging="360"/>
        <w:rPr/>
      </w:pPr>
      <w:r w:rsidDel="00000000" w:rsidR="00000000" w:rsidRPr="00000000">
        <w:rPr>
          <w:rtl w:val="0"/>
        </w:rPr>
        <w:t xml:space="preserve">lze dědit ze zákona nebo může existovat pořízení pro případ smrti ( závěť, dědická smlouva, dovětek)</w:t>
      </w:r>
    </w:p>
    <w:p w:rsidR="00000000" w:rsidDel="00000000" w:rsidP="00000000" w:rsidRDefault="00000000" w:rsidRPr="00000000" w14:paraId="000000CA">
      <w:pPr>
        <w:numPr>
          <w:ilvl w:val="2"/>
          <w:numId w:val="4"/>
        </w:numPr>
        <w:ind w:left="2149" w:hanging="360"/>
        <w:rPr/>
      </w:pPr>
      <w:r w:rsidDel="00000000" w:rsidR="00000000" w:rsidRPr="00000000">
        <w:rPr>
          <w:rtl w:val="0"/>
        </w:rPr>
        <w:t xml:space="preserve">důvody pro vydědění: neposkytnutí zůstaviteli potřebné pomoci v nouzi, o zůstavitele neprojevujeme dostatečný zájem, odsouzení pro TČ za okolností o jeho zvrhlé povaze, trvalý nezřízený život</w:t>
      </w:r>
    </w:p>
    <w:p w:rsidR="00000000" w:rsidDel="00000000" w:rsidP="00000000" w:rsidRDefault="00000000" w:rsidRPr="00000000" w14:paraId="000000CB">
      <w:pPr>
        <w:ind w:left="21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Relativní majetková práva – smluvní dluh, plnění smlouvy (závazky)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závazek označuje vztah mezi věřitelem a dlužníkem, jehož obsahem jsou práva a povinnosti těchto dvou osob pouze v tomto vztahu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věřitel má právo od dlužníka požadovat, aby pro něj např.: něco udělal nebo dal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závazky vznikají smlouvou, z protiprávního činu 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789" w:hanging="360"/>
        <w:rPr/>
      </w:pPr>
      <w:r w:rsidDel="00000000" w:rsidR="00000000" w:rsidRPr="00000000">
        <w:rPr>
          <w:rtl w:val="0"/>
        </w:rPr>
        <w:t xml:space="preserve">např.: darovací, kupní smlouva, výprosa (smlouva o bezplatném užívání věci), výpůjčka, nájem, smlouva o ubytování, pachtovní smlouva (obhospodaření pozemku)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1429" w:hanging="360"/>
        <w:rPr/>
      </w:pPr>
      <w:r w:rsidDel="00000000" w:rsidR="00000000" w:rsidRPr="00000000">
        <w:rPr>
          <w:rtl w:val="0"/>
        </w:rPr>
        <w:t xml:space="preserve">ustanovení přechodná, společná a závěrečná</w:t>
      </w:r>
    </w:p>
    <w:p w:rsidR="00000000" w:rsidDel="00000000" w:rsidP="00000000" w:rsidRDefault="00000000" w:rsidRPr="00000000" w14:paraId="000000D2">
      <w:pPr>
        <w:ind w:left="1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Pracovní právo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základním pramenem je zákon č.262/2006, tedy zákoník práce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upravuje vztahy mezi zaměstnancem a zaměstnavatelem a podmínky vzniku, trvání a zániku pracovního poměru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práci lze vykonávat na základě PP, DPP nebo DPČ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09" w:firstLine="0"/>
        <w:rPr/>
      </w:pPr>
      <w:r w:rsidDel="00000000" w:rsidR="00000000" w:rsidRPr="00000000">
        <w:rPr>
          <w:rtl w:val="0"/>
        </w:rPr>
        <w:t xml:space="preserve">pracovní poměr 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1429" w:hanging="360"/>
        <w:rPr/>
      </w:pPr>
      <w:r w:rsidDel="00000000" w:rsidR="00000000" w:rsidRPr="00000000">
        <w:rPr>
          <w:rtl w:val="0"/>
        </w:rPr>
        <w:t xml:space="preserve">dva účastníci : zaměstnance a zaměstnavatel (fyzický nebo právnický subjekt)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1429" w:hanging="360"/>
        <w:rPr/>
      </w:pPr>
      <w:r w:rsidDel="00000000" w:rsidR="00000000" w:rsidRPr="00000000">
        <w:rPr>
          <w:rtl w:val="0"/>
        </w:rPr>
        <w:t xml:space="preserve">vznik: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obecně zakládá uzavřením pracovní smlouvy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ta musí obsahovat: druh práce, místo výkonu práce, den nástupu 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může být zkušební doba, která nesmí být delší n než tři měsíce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na dobu určitou nebo neurčitou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1429" w:hanging="360"/>
        <w:rPr/>
      </w:pPr>
      <w:r w:rsidDel="00000000" w:rsidR="00000000" w:rsidRPr="00000000">
        <w:rPr>
          <w:rtl w:val="0"/>
        </w:rPr>
        <w:t xml:space="preserve">zánik: 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událostí – uplynutí doby, úmrtí, zánik zaměstnavatele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jednáním – dohodou, výpovědí, okamžitým zrušením, zrušením ve výpovědní době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1429" w:hanging="360"/>
        <w:rPr/>
      </w:pPr>
      <w:r w:rsidDel="00000000" w:rsidR="00000000" w:rsidRPr="00000000">
        <w:rPr>
          <w:rtl w:val="0"/>
        </w:rPr>
        <w:t xml:space="preserve">základní zásady pracovněprávních vztahů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ochrana postavení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bezpečné podmínky 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spravedlivé odměňování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řádný výkon práce v souladu s oprávněnými zájmy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rovné zacházení zákaz diskriminace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ind w:left="2149" w:hanging="360"/>
        <w:rPr/>
      </w:pPr>
      <w:r w:rsidDel="00000000" w:rsidR="00000000" w:rsidRPr="00000000">
        <w:rPr>
          <w:rtl w:val="0"/>
        </w:rPr>
        <w:t xml:space="preserve">problémy: diskriminace dle etnického nebo sociálního původu,náboženství či sexuální orientace; sexuální obtěžování, šikana (bossing)muž X žena platy – upravuje antidiskriminační zákon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1429" w:hanging="360"/>
        <w:rPr/>
      </w:pPr>
      <w:r w:rsidDel="00000000" w:rsidR="00000000" w:rsidRPr="00000000">
        <w:rPr>
          <w:rtl w:val="0"/>
        </w:rPr>
        <w:t xml:space="preserve">povinnosti zaměstnavatele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přidělování práce dle smlouvy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platit mzdu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vytvářet podmínky pro úspěšné plnění úkolů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musí dodržovat všechny pracovní podmínky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1429" w:hanging="360"/>
        <w:rPr/>
      </w:pPr>
      <w:r w:rsidDel="00000000" w:rsidR="00000000" w:rsidRPr="00000000">
        <w:rPr>
          <w:rtl w:val="0"/>
        </w:rPr>
        <w:t xml:space="preserve">povinnosti zaměstnance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konat práci osobně ve stanovené pracovní době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dodržovat kázeň a právní předpisy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pracovat svědomitě a řádně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ind w:left="1789" w:hanging="360"/>
        <w:rPr/>
      </w:pPr>
      <w:r w:rsidDel="00000000" w:rsidR="00000000" w:rsidRPr="00000000">
        <w:rPr>
          <w:rtl w:val="0"/>
        </w:rPr>
        <w:t xml:space="preserve">řádně hospodařit s prostředky zaměstnavatele a ochraňovat jeho majetek</w:t>
      </w:r>
    </w:p>
    <w:p w:rsidR="00000000" w:rsidDel="00000000" w:rsidP="00000000" w:rsidRDefault="00000000" w:rsidRPr="00000000" w14:paraId="000000F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pracovní doba týdně činí 40 hodin a za přesčasy je náhradní volno</w:t>
      </w:r>
    </w:p>
    <w:p w:rsidR="00000000" w:rsidDel="00000000" w:rsidP="00000000" w:rsidRDefault="00000000" w:rsidRPr="00000000" w14:paraId="000000F5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pracovní dobu rozvrhuje zaměstnavatel a určí začátek a konec směn, délka nesmí přesáhnout 12 hodin</w:t>
      </w:r>
    </w:p>
    <w:p w:rsidR="00000000" w:rsidDel="00000000" w:rsidP="00000000" w:rsidRDefault="00000000" w:rsidRPr="00000000" w14:paraId="000000F6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nejdéle po 6 hodinách musí poskytnout 30 minut pauzu</w:t>
      </w:r>
    </w:p>
    <w:p w:rsidR="00000000" w:rsidDel="00000000" w:rsidP="00000000" w:rsidRDefault="00000000" w:rsidRPr="00000000" w14:paraId="000000F7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výměra dovolené je nejméně 4 týdny </w:t>
      </w:r>
    </w:p>
    <w:p w:rsidR="00000000" w:rsidDel="00000000" w:rsidP="00000000" w:rsidRDefault="00000000" w:rsidRPr="00000000" w14:paraId="000000F8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zvlášť potom mateřská a rodičovská </w:t>
      </w:r>
    </w:p>
    <w:p w:rsidR="00000000" w:rsidDel="00000000" w:rsidP="00000000" w:rsidRDefault="00000000" w:rsidRPr="00000000" w14:paraId="000000F9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za vykonanou práci náleží mzda ( kolik máme na hodinu min. 12 200 Kč), plat (stanovený – státní zaměstnanci) nebo odměna z dohody</w:t>
      </w:r>
    </w:p>
    <w:p w:rsidR="00000000" w:rsidDel="00000000" w:rsidP="00000000" w:rsidRDefault="00000000" w:rsidRPr="00000000" w14:paraId="000000FA">
      <w:pPr>
        <w:widowControl w:val="1"/>
        <w:numPr>
          <w:ilvl w:val="1"/>
          <w:numId w:val="5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Úřad práce </w:t>
      </w:r>
    </w:p>
    <w:p w:rsidR="00000000" w:rsidDel="00000000" w:rsidP="00000000" w:rsidRDefault="00000000" w:rsidRPr="00000000" w14:paraId="000000FB">
      <w:pPr>
        <w:widowControl w:val="1"/>
        <w:numPr>
          <w:ilvl w:val="2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správním úřadem, který plní úkoly v oblastech zaměstnanosti, ochrany zaměstnanců při platební neschopnosti zaměstnavatele a v oblasti sociální podpory</w:t>
      </w:r>
    </w:p>
    <w:p w:rsidR="00000000" w:rsidDel="00000000" w:rsidP="00000000" w:rsidRDefault="00000000" w:rsidRPr="00000000" w14:paraId="000000FC">
      <w:pPr>
        <w:widowControl w:val="1"/>
        <w:numPr>
          <w:ilvl w:val="2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uchazečům poskytuje služby spojené se zprostředkováním, vyplácí podporu v nezaměstnanosti a při rekvalifikaci atd.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1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bullet"/>
      <w:lvlText w:val="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1429" w:hanging="360"/>
      </w:pPr>
      <w:rPr/>
    </w:lvl>
    <w:lvl w:ilvl="1">
      <w:start w:val="1"/>
      <w:numFmt w:val="bullet"/>
      <w:lvlText w:val="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"/>
      <w:lvlJc w:val="left"/>
      <w:pPr>
        <w:ind w:left="1800" w:hanging="360"/>
      </w:pPr>
      <w:rPr/>
    </w:lvl>
    <w:lvl w:ilvl="4">
      <w:start w:val="1"/>
      <w:numFmt w:val="bullet"/>
      <w:lvlText w:val=""/>
      <w:lvlJc w:val="left"/>
      <w:pPr>
        <w:ind w:left="2160" w:hanging="360"/>
      </w:pPr>
      <w:rPr/>
    </w:lvl>
    <w:lvl w:ilvl="5">
      <w:start w:val="1"/>
      <w:numFmt w:val="bullet"/>
      <w:lvlText w:val=""/>
      <w:lvlJc w:val="left"/>
      <w:pPr>
        <w:ind w:left="2520" w:hanging="360"/>
      </w:pPr>
      <w:rPr/>
    </w:lvl>
    <w:lvl w:ilvl="6">
      <w:start w:val="1"/>
      <w:numFmt w:val="bullet"/>
      <w:lvlText w:val=""/>
      <w:lvlJc w:val="left"/>
      <w:pPr>
        <w:ind w:left="2880" w:hanging="360"/>
      </w:pPr>
      <w:rPr/>
    </w:lvl>
    <w:lvl w:ilvl="7">
      <w:start w:val="1"/>
      <w:numFmt w:val="bullet"/>
      <w:lvlText w:val=""/>
      <w:lvlJc w:val="left"/>
      <w:pPr>
        <w:ind w:left="3240" w:hanging="360"/>
      </w:pPr>
      <w:rPr/>
    </w:lvl>
    <w:lvl w:ilvl="8">
      <w:start w:val="1"/>
      <w:numFmt w:val="bullet"/>
      <w:lvlText w:val="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