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5. Ústava ČR a státní symboly</w:t>
      </w:r>
    </w:p>
    <w:p w:rsidR="00000000" w:rsidDel="00000000" w:rsidP="00000000" w:rsidRDefault="00000000" w:rsidRPr="00000000" w14:paraId="00000002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Obecně o ústavách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základní zákon státu s nejvyšší právní silou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všechny ostatní zákonné normy ji nesmí porušovat a musí s ní být v souladu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má být základem pro zachování sociálního míru, obrany občanských práv a svobod a státní suverenity</w:t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může být:</w:t>
      </w:r>
    </w:p>
    <w:p w:rsidR="00000000" w:rsidDel="00000000" w:rsidP="00000000" w:rsidRDefault="00000000" w:rsidRPr="00000000" w14:paraId="00000008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psaná – celistvý dokument, schválen najednou</w:t>
      </w:r>
    </w:p>
    <w:p w:rsidR="00000000" w:rsidDel="00000000" w:rsidP="00000000" w:rsidRDefault="00000000" w:rsidRPr="00000000" w14:paraId="00000009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nepsaná – vice dokumentů, ústavní zvyklosti a precedenty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jsou přijímány zákonodárným sborem nebo referendem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ústavní změny:</w:t>
      </w:r>
    </w:p>
    <w:p w:rsidR="00000000" w:rsidDel="00000000" w:rsidP="00000000" w:rsidRDefault="00000000" w:rsidRPr="00000000" w14:paraId="0000000C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rigidní – obtížné změnit, většinou nutnost ústavní většiny nebo dodatečným referendem</w:t>
      </w:r>
    </w:p>
    <w:p w:rsidR="00000000" w:rsidDel="00000000" w:rsidP="00000000" w:rsidRDefault="00000000" w:rsidRPr="00000000" w14:paraId="0000000D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flexibilní – lze změnit stejným způsobem jako obyčejný zákon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jádrem demokratické ústavy je princip oddělení mocí a princip brzd a rovnováh</w:t>
      </w:r>
    </w:p>
    <w:p w:rsidR="00000000" w:rsidDel="00000000" w:rsidP="00000000" w:rsidRDefault="00000000" w:rsidRPr="00000000" w14:paraId="0000000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Vývoj české ústavnosti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1848 – 1918</w:t>
      </w:r>
    </w:p>
    <w:p w:rsidR="00000000" w:rsidDel="00000000" w:rsidP="00000000" w:rsidRDefault="00000000" w:rsidRPr="00000000" w14:paraId="00000012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období habsburské monarchie</w:t>
      </w:r>
    </w:p>
    <w:p w:rsidR="00000000" w:rsidDel="00000000" w:rsidP="00000000" w:rsidRDefault="00000000" w:rsidRPr="00000000" w14:paraId="00000013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 roku 1867 tzv. Oktrojované ústavy – rozhodnutí císaře a ústavy se souhlasem říšského sněmu</w:t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 roce 1867 platnost tzv. Prosincové ústavy – přijata říšským sněmem v součinnosti s monarchou, platila až do konce války a zavedla konstituční monarchii a všeobecné hlasovací právo pro muže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1918 – 1922</w:t>
      </w:r>
    </w:p>
    <w:p w:rsidR="00000000" w:rsidDel="00000000" w:rsidP="00000000" w:rsidRDefault="00000000" w:rsidRPr="00000000" w14:paraId="00000016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schválena Prozatímní ústava okamžitě po vzniku republiky</w:t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Ústavní listina 1920 – vytvářela parlamentní republiku se dvěma komorami, dělba moci = Únorová ústava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1948 – 1989</w:t>
      </w:r>
    </w:p>
    <w:p w:rsidR="00000000" w:rsidDel="00000000" w:rsidP="00000000" w:rsidRDefault="00000000" w:rsidRPr="00000000" w14:paraId="00000019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Ústava ČSR 1948 – zrušen ÚS, historické země</w:t>
      </w:r>
    </w:p>
    <w:p w:rsidR="00000000" w:rsidDel="00000000" w:rsidP="00000000" w:rsidRDefault="00000000" w:rsidRPr="00000000" w14:paraId="0000001A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Ústava ČSSR 1960 - „Socialismus v naší vlasti zvítězil!“; nový název, vedoucí úloha strany</w:t>
      </w:r>
    </w:p>
    <w:p w:rsidR="00000000" w:rsidDel="00000000" w:rsidP="00000000" w:rsidRDefault="00000000" w:rsidRPr="00000000" w14:paraId="0000001B">
      <w:pPr>
        <w:numPr>
          <w:ilvl w:val="2"/>
          <w:numId w:val="12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Ústavní zákon o federaci 1968/69 – vzniká ČSR a SSR a FS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1993 – ústavnost samostatné České republiky</w:t>
      </w:r>
    </w:p>
    <w:p w:rsidR="00000000" w:rsidDel="00000000" w:rsidP="00000000" w:rsidRDefault="00000000" w:rsidRPr="00000000" w14:paraId="0000001D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Ústava ČR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byla schválena 16. prosince 1992 a nabyla účinnosti k 1. lednu 1993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zákon č. 1/1993 Sb.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Je složena z preambule, osmi hlav a 113 článků</w:t>
      </w:r>
    </w:p>
    <w:p w:rsidR="00000000" w:rsidDel="00000000" w:rsidP="00000000" w:rsidRDefault="00000000" w:rsidRPr="00000000" w14:paraId="00000022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Preambule</w:t>
      </w:r>
    </w:p>
    <w:p w:rsidR="00000000" w:rsidDel="00000000" w:rsidP="00000000" w:rsidRDefault="00000000" w:rsidRPr="00000000" w14:paraId="00000023">
      <w:pPr>
        <w:ind w:left="709" w:firstLine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My, občané České republiky v Čechách, na Moravě a ve Slezsku,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v čase obnovy samostatného českého státu,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věrni všem dobrým tradicím dávné státnosti zemí Koruny české i státnosti československé,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odhodláni budovat, chránit a rozvíjet Českou republiku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v duchu nedotknutelných hodnot lidské důstojnosti a svobody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jako vlast rovnoprávných, svobodných občanů,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kteří jsou si vědomi svých povinností vůči druhým a zodpovědnosti vůči celku,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jako svobodný a demokratický stát, založený na úctě k lidským právům a na zásadách občanské společnosti,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jako součást rodiny evropských a světových demokracií,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odhodláni společně střežit a rozvíjet zděděné přírodní a kulturní, hmotné a duchovní bohatství,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odhodláni řídit se všemi osvědčenými principy právního státu,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color w:val="000000"/>
          <w:sz w:val="24"/>
          <w:szCs w:val="24"/>
          <w:rtl w:val="0"/>
        </w:rPr>
        <w:t xml:space="preserve">prostřednictvím svých svobodně zvolených zástupců přijímáme tuto Ústavu České republiky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I.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Základní ustanovení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podstata státu, pozice mezinárodních smluv, základy politického systému, celistvost území, hlavní město, státní symboly</w:t>
      </w:r>
    </w:p>
    <w:p w:rsidR="00000000" w:rsidDel="00000000" w:rsidP="00000000" w:rsidRDefault="00000000" w:rsidRPr="00000000" w14:paraId="00000029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II.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Moc zákonodárná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náleží parlamentu : Poslanecká sněmovna a Senát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princip voleb, slučitelnost funkcí, vznik a zánik mandátu, ustanovení o rozpuštění sněmovny, proces přijímání zákonů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text slibu poslance a senátora, imunita č. 27</w:t>
      </w:r>
    </w:p>
    <w:p w:rsidR="00000000" w:rsidDel="00000000" w:rsidP="00000000" w:rsidRDefault="00000000" w:rsidRPr="00000000" w14:paraId="0000002E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III.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Moc výkonná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prezident a vláda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vztahy mezi nimi a parlamentem, pravomoci prezidenta: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78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svolává a rozpouští PS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78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jmenovací – vláda, soudci, akademické hodnostáře, guvernéra a radu ČNB, předseda NKÚ, nejvyšší armádní důstojníky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78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milost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78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státní vyznamenání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78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vrchní velitel ozbrojených sil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78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veto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způsob volby a jeho slib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imunita, ústavní žaloba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povinnosti členů vlády, princip žádosti o důvěru vlády a demisi, postavení ministrů, správních úřadů a státních zastupitelství</w:t>
      </w:r>
    </w:p>
    <w:p w:rsidR="00000000" w:rsidDel="00000000" w:rsidP="00000000" w:rsidRDefault="00000000" w:rsidRPr="00000000" w14:paraId="0000003C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IV.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Moc soudní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fungování soudů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legislativa ani exekutiva nesmí ovlivnit rozhodování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popisuje fungování ÚS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princip jmenování soudců a vyjmenovává soudy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zavádí ombudsmana</w:t>
      </w:r>
    </w:p>
    <w:p w:rsidR="00000000" w:rsidDel="00000000" w:rsidP="00000000" w:rsidRDefault="00000000" w:rsidRPr="00000000" w14:paraId="00000043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V.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Kontrolní moc v podobě NKÚ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princip jeho fungování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kontrola hospodaření se státními penězi</w:t>
      </w:r>
    </w:p>
    <w:p w:rsidR="00000000" w:rsidDel="00000000" w:rsidP="00000000" w:rsidRDefault="00000000" w:rsidRPr="00000000" w14:paraId="00000047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VI.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ČNB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ustavuje ji jako ústřední banku státu, její působnost a pravomoci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guvernér jmenován prezidentem – Jiří Rusnok</w:t>
      </w:r>
    </w:p>
    <w:p w:rsidR="00000000" w:rsidDel="00000000" w:rsidP="00000000" w:rsidRDefault="00000000" w:rsidRPr="00000000" w14:paraId="0000004B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VII.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Územní samospráva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popisuje členění státu a správu jednotlivých celků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základní územní celky = obce a vyšší územní samosprávní celky</w:t>
      </w:r>
    </w:p>
    <w:p w:rsidR="00000000" w:rsidDel="00000000" w:rsidP="00000000" w:rsidRDefault="00000000" w:rsidRPr="00000000" w14:paraId="0000004F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VIII.</w:t>
      </w:r>
    </w:p>
    <w:p w:rsidR="00000000" w:rsidDel="00000000" w:rsidP="00000000" w:rsidRDefault="00000000" w:rsidRPr="00000000" w14:paraId="00000050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Přechodná a závěrečná ustanovení</w:t>
      </w:r>
    </w:p>
    <w:p w:rsidR="00000000" w:rsidDel="00000000" w:rsidP="00000000" w:rsidRDefault="00000000" w:rsidRPr="00000000" w14:paraId="00000051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Listina základních práv a svobod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901" w:hanging="180.99999999999994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součástí ústavního pořádku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901" w:hanging="180.99999999999994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složena z preambule a šesti hlav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901" w:hanging="180.99999999999994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historie: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zájem o lidská práva vzrostl v 18. století,významným mezníkem byla Velká francouzská revoluce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prvním významným dokumentem byla anglická Magna charta libertatum z roku 1215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základy moderních lidskoprávních listin položila Deklarace nezávislosti Spojených států amerických (1776) a Deklarace práv člověka a občana (1789)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 roce 1948 přijalo OSN Všeobecnou deklaraci lidských práv a svobod </w:t>
      </w:r>
    </w:p>
    <w:p w:rsidR="00000000" w:rsidDel="00000000" w:rsidP="00000000" w:rsidRDefault="00000000" w:rsidRPr="00000000" w14:paraId="0000005B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den jejího vyhlášení 10. prosince si každý rok připomínáme jako Mezinárodní den lidských práv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ČSSR přistoupila k dohodě 1968, ale ratifikovala ji až 1975</w:t>
      </w:r>
    </w:p>
    <w:p w:rsidR="00000000" w:rsidDel="00000000" w:rsidP="00000000" w:rsidRDefault="00000000" w:rsidRPr="00000000" w14:paraId="0000005D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ke skutečnému naplnění díky režimu nikdy nedošlo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 roce 1950 byla v Římě uzavřena evropská Úmluva o ochraně lidských práv a základních svobod 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ústavním zákonem se stala roku 1991 a od roku 1993 ji součástí ústavního pořádku</w:t>
      </w:r>
    </w:p>
    <w:p w:rsidR="00000000" w:rsidDel="00000000" w:rsidP="00000000" w:rsidRDefault="00000000" w:rsidRPr="00000000" w14:paraId="00000060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I.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Obecná ustanovení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vymezuje povahu lidských práv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lidé jsou svobodní a rovní v důstojnosti i v právech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jsou nezcizitelná, nezadatelná, nepromlčitelná, nezrušitelná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zaručují se všem bez rozdílu pohlaví, rasy, jazyka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ustanovení o ukládání povinností a o mezích uplatňování státní moci</w:t>
      </w:r>
    </w:p>
    <w:p w:rsidR="00000000" w:rsidDel="00000000" w:rsidP="00000000" w:rsidRDefault="00000000" w:rsidRPr="00000000" w14:paraId="00000067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II.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Lidská práva a základní svobody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právo na život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nedotknutelnost osoby a jejího soukromí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ochrana osobní svobody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svoboda pohybu, myšlení, náboženského vyznání, politická práva a další</w:t>
      </w:r>
    </w:p>
    <w:p w:rsidR="00000000" w:rsidDel="00000000" w:rsidP="00000000" w:rsidRDefault="00000000" w:rsidRPr="00000000" w14:paraId="0000006D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III.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Práva národnostních a etnických menšin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zaručuje občanům menšin právo na všestranný rozvoj,rozvíjení vlastní kultury a mateřského jazyka, sdružovat se v národních sdruženích, vzdělání v jejich jazyku</w:t>
      </w:r>
    </w:p>
    <w:p w:rsidR="00000000" w:rsidDel="00000000" w:rsidP="00000000" w:rsidRDefault="00000000" w:rsidRPr="00000000" w14:paraId="00000070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IV.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Hospodářská, sociální a kulturní práva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právo na soukromé podnikání, právo získat prostředky pro své životní potřeby prací,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ochrana rodičovství a rodiny, právo na ochrana zdraví, vzdělání a příznivé ŽP</w:t>
      </w:r>
    </w:p>
    <w:p w:rsidR="00000000" w:rsidDel="00000000" w:rsidP="00000000" w:rsidRDefault="00000000" w:rsidRPr="00000000" w14:paraId="00000074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V.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Právo na soudní a jinou právní ochranu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právo domáhat se práva u nezávislého soudu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právo na odepření výpovědí, na právní pomoc v řízení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1429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rovnost účastníků v soudním řízení</w:t>
      </w:r>
    </w:p>
    <w:p w:rsidR="00000000" w:rsidDel="00000000" w:rsidP="00000000" w:rsidRDefault="00000000" w:rsidRPr="00000000" w14:paraId="00000079">
      <w:pPr>
        <w:ind w:left="709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Hlava VI.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12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Ustanovení společná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12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každý cizinec na území nabývá práva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12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poskytování azylu</w:t>
      </w:r>
    </w:p>
    <w:p w:rsidR="00000000" w:rsidDel="00000000" w:rsidP="00000000" w:rsidRDefault="00000000" w:rsidRPr="00000000" w14:paraId="0000007D">
      <w:pPr>
        <w:ind w:left="120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Státní symboly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zakotveny zákonem č. 3/1993 Sb. O státních symbolech a č. 14 Ústavy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jsou předměty, které si stát ústavou určil jako své oficiální a nezaměnitelné označení</w:t>
      </w:r>
    </w:p>
    <w:p w:rsidR="00000000" w:rsidDel="00000000" w:rsidP="00000000" w:rsidRDefault="00000000" w:rsidRPr="00000000" w14:paraId="00000081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vycházející z tradic</w:t>
      </w:r>
    </w:p>
    <w:p w:rsidR="00000000" w:rsidDel="00000000" w:rsidP="00000000" w:rsidRDefault="00000000" w:rsidRPr="00000000" w14:paraId="00000082">
      <w:pPr>
        <w:ind w:left="108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velký státní znak</w:t>
      </w:r>
    </w:p>
    <w:p w:rsidR="00000000" w:rsidDel="00000000" w:rsidP="00000000" w:rsidRDefault="00000000" w:rsidRPr="00000000" w14:paraId="00000084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vyjadřuje spojení historických zemí</w:t>
      </w:r>
    </w:p>
    <w:p w:rsidR="00000000" w:rsidDel="00000000" w:rsidP="00000000" w:rsidRDefault="00000000" w:rsidRPr="00000000" w14:paraId="00000085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čtvercový štít,v prvním a čtvrtém červeném poli je stříbrný dvouocasí, ve druhém modrém poli je stříbrno – červeně šachovaná moravská orlice,ve třetím zlatém poli je slezská černá orlice se stříbrným půlměsícem</w:t>
      </w:r>
    </w:p>
    <w:p w:rsidR="00000000" w:rsidDel="00000000" w:rsidP="00000000" w:rsidRDefault="00000000" w:rsidRPr="00000000" w14:paraId="00000086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využití:</w:t>
      </w:r>
    </w:p>
    <w:p w:rsidR="00000000" w:rsidDel="00000000" w:rsidP="00000000" w:rsidRDefault="00000000" w:rsidRPr="00000000" w14:paraId="00000087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vyobrazit na akademických insigniích, insigniích primátorů a insigniích vyznamenání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se vyobrazuje na sbírkách rozhodnutí Ústavního soudu, Nejvyššího soudu a Nejvyššího správního soudu vydávaných těmito soudy podle zvláštních právních předpisů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se užívá k zevnímu označení dresu sportovců reprezentujících Českou republiku.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se užívá k vyznačení státních hranic České republiky,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se vyobrazuje na bankovkách, cenných papírech a jiných ceninách České republiky,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je součástí zevního označení služebních stejnokrojů zaměstnanců a příslušníků ministerstev a jiných správních úřadů a příslušníků ozbrojených a bezpečnostních sborů, Bezpečnostní a informační služby a Úřadu pro zahraniční styky a informace, v rozsahu a způsobem stanoveným zvláštním právním předpisem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je součástí závěsného odznaku starostů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a další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800" w:firstLine="0"/>
        <w:rPr>
          <w:b w:val="0"/>
          <w:i w:val="0"/>
          <w:smallCaps w:val="0"/>
          <w:color w:val="4f4f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malý státní znak</w:t>
      </w:r>
    </w:p>
    <w:p w:rsidR="00000000" w:rsidDel="00000000" w:rsidP="00000000" w:rsidRDefault="00000000" w:rsidRPr="00000000" w14:paraId="00000091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červený štít se stříbrným lvem ve skoku se zlatou korunou a zbrojí</w:t>
      </w:r>
    </w:p>
    <w:p w:rsidR="00000000" w:rsidDel="00000000" w:rsidP="00000000" w:rsidRDefault="00000000" w:rsidRPr="00000000" w14:paraId="00000092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využití:</w:t>
      </w:r>
    </w:p>
    <w:p w:rsidR="00000000" w:rsidDel="00000000" w:rsidP="00000000" w:rsidRDefault="00000000" w:rsidRPr="00000000" w14:paraId="00000093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Malý státní znak užívají oprávněné osoby (s výjimkou sportovců reprezentujících ČR) na rozhodnutích a jiných listinách osvědčujících důležité skutečnosti, vydávaných při výkonu státní moci, který jim byl svěřen zákonem nebo na základě zákona. Jde vesměs o tzv. veřejné listiny, nicméně ne každá veřejná listina se opatřuje malým státním znakem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3"/>
          <w:numId w:val="15"/>
        </w:numPr>
        <w:ind w:left="1800" w:hanging="360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vyobrazen též na tzv. úředních razítcích.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státní barvy</w:t>
      </w:r>
    </w:p>
    <w:p w:rsidR="00000000" w:rsidDel="00000000" w:rsidP="00000000" w:rsidRDefault="00000000" w:rsidRPr="00000000" w14:paraId="00000096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bílá, červená, modrá</w:t>
      </w:r>
    </w:p>
    <w:p w:rsidR="00000000" w:rsidDel="00000000" w:rsidP="00000000" w:rsidRDefault="00000000" w:rsidRPr="00000000" w14:paraId="00000097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color w:val="11111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11111"/>
          <w:sz w:val="24"/>
          <w:szCs w:val="24"/>
          <w:rtl w:val="0"/>
        </w:rPr>
        <w:t xml:space="preserve">užívají se v podobě trikolóry k obecnému označení státního majetku či k dekoračním účelům</w:t>
      </w:r>
    </w:p>
    <w:p w:rsidR="00000000" w:rsidDel="00000000" w:rsidP="00000000" w:rsidRDefault="00000000" w:rsidRPr="00000000" w14:paraId="00000098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color w:val="11111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111111"/>
          <w:sz w:val="24"/>
          <w:szCs w:val="24"/>
          <w:rtl w:val="0"/>
        </w:rPr>
        <w:t xml:space="preserve">využití 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80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4f4f4f"/>
          <w:sz w:val="24"/>
          <w:szCs w:val="24"/>
          <w:u w:val="none"/>
          <w:shd w:fill="auto" w:val="clear"/>
          <w:vertAlign w:val="baseline"/>
          <w:rtl w:val="0"/>
        </w:rPr>
        <w:t xml:space="preserve">Způsob užívání státních barev není zákonem nijak regulován.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státní hymna</w:t>
      </w:r>
    </w:p>
    <w:p w:rsidR="00000000" w:rsidDel="00000000" w:rsidP="00000000" w:rsidRDefault="00000000" w:rsidRPr="00000000" w14:paraId="0000009B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první sloka písně Františka Škroupa s textem Josefa Kajetána Tyla – </w:t>
      </w:r>
    </w:p>
    <w:p w:rsidR="00000000" w:rsidDel="00000000" w:rsidP="00000000" w:rsidRDefault="00000000" w:rsidRPr="00000000" w14:paraId="0000009C">
      <w:pPr>
        <w:ind w:left="144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Kde domov můj ?</w:t>
      </w:r>
    </w:p>
    <w:p w:rsidR="00000000" w:rsidDel="00000000" w:rsidP="00000000" w:rsidRDefault="00000000" w:rsidRPr="00000000" w14:paraId="0000009D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Poprvé ve hře Fidlovačka aneb žádný hněv a žádná rvačka ve Stavovském divadle 21. prosince 1834</w:t>
      </w:r>
    </w:p>
    <w:p w:rsidR="00000000" w:rsidDel="00000000" w:rsidP="00000000" w:rsidRDefault="00000000" w:rsidRPr="00000000" w14:paraId="0000009E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využití:</w:t>
      </w:r>
    </w:p>
    <w:p w:rsidR="00000000" w:rsidDel="00000000" w:rsidP="00000000" w:rsidRDefault="00000000" w:rsidRPr="00000000" w14:paraId="0000009F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Státní hymnu lze hrát i zpívat při státních svátcích a při jiných příležitostech, je-li to obvyklé.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státní vlajka</w:t>
      </w:r>
    </w:p>
    <w:p w:rsidR="00000000" w:rsidDel="00000000" w:rsidP="00000000" w:rsidRDefault="00000000" w:rsidRPr="00000000" w14:paraId="000000A1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horní pruh bílý - čistota a dolní červený - krev</w:t>
      </w:r>
    </w:p>
    <w:p w:rsidR="00000000" w:rsidDel="00000000" w:rsidP="00000000" w:rsidRDefault="00000000" w:rsidRPr="00000000" w14:paraId="000000A2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 poloviny délky zasunut žerďový modrý - mír klín</w:t>
      </w:r>
    </w:p>
    <w:p w:rsidR="00000000" w:rsidDel="00000000" w:rsidP="00000000" w:rsidRDefault="00000000" w:rsidRPr="00000000" w14:paraId="000000A3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poměr šířky k délce je 2:3, vznikla v roce 1920</w:t>
      </w:r>
    </w:p>
    <w:p w:rsidR="00000000" w:rsidDel="00000000" w:rsidP="00000000" w:rsidRDefault="00000000" w:rsidRPr="00000000" w14:paraId="000000A4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využití:</w:t>
      </w:r>
    </w:p>
    <w:p w:rsidR="00000000" w:rsidDel="00000000" w:rsidP="00000000" w:rsidRDefault="00000000" w:rsidRPr="00000000" w14:paraId="000000A5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při příležitosti státních svátků a při příležitostech celostátního významu, zejména v den smutku nebo v den státního smutku, vyhlášených vládou. Vlajková výzdoba začíná zpravidla v 16 hodin dne předcházejícího a končí v 8 hodin dne následujícího po dni vymezeném v předchozí větě.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Státní vlajku mohou vyvěšovat vedoucí diplomatických misí a konzulárních úřadů České republiky na služebních dopravních prostředcích, a to při slavnostních příležitostech a pokud je to v zemi jejich působení obvyklé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Ostatní fyzické a právnické osoby a organizační složky státu mohou užít státní vlajku vhodným a důstojným způsobem kdykoliv.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vlajka prezidenta republiky = standarta</w:t>
      </w:r>
    </w:p>
    <w:p w:rsidR="00000000" w:rsidDel="00000000" w:rsidP="00000000" w:rsidRDefault="00000000" w:rsidRPr="00000000" w14:paraId="000000A9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bílá s okrajem skládajícím se z plaménků střídavě bílých, červených a modrých</w:t>
      </w:r>
    </w:p>
    <w:p w:rsidR="00000000" w:rsidDel="00000000" w:rsidP="00000000" w:rsidRDefault="00000000" w:rsidRPr="00000000" w14:paraId="000000AA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uprostřed je velký státní znak a pod ním na červené stuze : „Pravda vítězí“</w:t>
      </w:r>
    </w:p>
    <w:p w:rsidR="00000000" w:rsidDel="00000000" w:rsidP="00000000" w:rsidRDefault="00000000" w:rsidRPr="00000000" w14:paraId="000000AB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lipové ratolesti</w:t>
      </w:r>
    </w:p>
    <w:p w:rsidR="00000000" w:rsidDel="00000000" w:rsidP="00000000" w:rsidRDefault="00000000" w:rsidRPr="00000000" w14:paraId="000000AC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využití</w:t>
      </w:r>
    </w:p>
    <w:p w:rsidR="00000000" w:rsidDel="00000000" w:rsidP="00000000" w:rsidRDefault="00000000" w:rsidRPr="00000000" w14:paraId="000000AD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Vlajku prezidenta republiky lze užít k označení sídla prezidenta republiky v době jeho přítomnosti v České republice a k označení dopravního prostředku používaného prezidentem republiky.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ind w:left="180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státní pečeť</w:t>
      </w:r>
    </w:p>
    <w:p w:rsidR="00000000" w:rsidDel="00000000" w:rsidP="00000000" w:rsidRDefault="00000000" w:rsidRPr="00000000" w14:paraId="000000B0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velký státní znak podložený lipovými ratolestmi po obou stranách</w:t>
      </w:r>
    </w:p>
    <w:p w:rsidR="00000000" w:rsidDel="00000000" w:rsidP="00000000" w:rsidRDefault="00000000" w:rsidRPr="00000000" w14:paraId="000000B1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okolo je opis ČESKÁ REPUBLIKA</w:t>
      </w:r>
    </w:p>
    <w:p w:rsidR="00000000" w:rsidDel="00000000" w:rsidP="00000000" w:rsidRDefault="00000000" w:rsidRPr="00000000" w14:paraId="000000B2">
      <w:pPr>
        <w:numPr>
          <w:ilvl w:val="2"/>
          <w:numId w:val="15"/>
        </w:numPr>
        <w:ind w:left="144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využití:</w:t>
      </w:r>
    </w:p>
    <w:p w:rsidR="00000000" w:rsidDel="00000000" w:rsidP="00000000" w:rsidRDefault="00000000" w:rsidRPr="00000000" w14:paraId="000000B3">
      <w:pPr>
        <w:numPr>
          <w:ilvl w:val="3"/>
          <w:numId w:val="15"/>
        </w:numPr>
        <w:ind w:left="180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4f4f4f"/>
          <w:sz w:val="24"/>
          <w:szCs w:val="24"/>
          <w:rtl w:val="0"/>
        </w:rPr>
        <w:t xml:space="preserve">Státní pečeť lze užít k pečetění mezinárodních smluv, na pověřovací listiny diplomatických zástupců a v dalších případech, pokud tak stanoví zvláštní právní předpis, mezinárodní smlouva, kterou je Česká republika vázána a která byla vyhlášena, nebo pokud je to obvyklé.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plus neoficiálními symbolem jsou české korunovační klenoty : svatováclavská koruna, královské jablko, královské žezlo a korunovační roucho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883602</wp:posOffset>
            </wp:positionH>
            <wp:positionV relativeFrom="paragraph">
              <wp:posOffset>0</wp:posOffset>
            </wp:positionV>
            <wp:extent cx="4352925" cy="314325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901" w:hanging="181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ind w:left="1200" w:hanging="360"/>
      </w:pPr>
      <w:rPr/>
    </w:lvl>
    <w:lvl w:ilvl="1">
      <w:start w:val="1"/>
      <w:numFmt w:val="bullet"/>
      <w:lvlText w:val="◦"/>
      <w:lvlJc w:val="left"/>
      <w:pPr>
        <w:ind w:left="1560" w:hanging="360"/>
      </w:pPr>
      <w:rPr/>
    </w:lvl>
    <w:lvl w:ilvl="2">
      <w:start w:val="1"/>
      <w:numFmt w:val="bullet"/>
      <w:lvlText w:val="▪"/>
      <w:lvlJc w:val="left"/>
      <w:pPr>
        <w:ind w:left="1920" w:hanging="360"/>
      </w:pPr>
      <w:rPr/>
    </w:lvl>
    <w:lvl w:ilvl="3">
      <w:start w:val="1"/>
      <w:numFmt w:val="bullet"/>
      <w:lvlText w:val=""/>
      <w:lvlJc w:val="left"/>
      <w:pPr>
        <w:ind w:left="2280" w:hanging="360"/>
      </w:pPr>
      <w:rPr/>
    </w:lvl>
    <w:lvl w:ilvl="4">
      <w:start w:val="1"/>
      <w:numFmt w:val="bullet"/>
      <w:lvlText w:val="◦"/>
      <w:lvlJc w:val="left"/>
      <w:pPr>
        <w:ind w:left="2640" w:hanging="360"/>
      </w:pPr>
      <w:rPr/>
    </w:lvl>
    <w:lvl w:ilvl="5">
      <w:start w:val="1"/>
      <w:numFmt w:val="bullet"/>
      <w:lvlText w:val="▪"/>
      <w:lvlJc w:val="left"/>
      <w:pPr>
        <w:ind w:left="3000" w:hanging="360"/>
      </w:pPr>
      <w:rPr/>
    </w:lvl>
    <w:lvl w:ilvl="6">
      <w:start w:val="1"/>
      <w:numFmt w:val="bullet"/>
      <w:lvlText w:val=""/>
      <w:lvlJc w:val="left"/>
      <w:pPr>
        <w:ind w:left="3360" w:hanging="360"/>
      </w:pPr>
      <w:rPr/>
    </w:lvl>
    <w:lvl w:ilvl="7">
      <w:start w:val="1"/>
      <w:numFmt w:val="bullet"/>
      <w:lvlText w:val="◦"/>
      <w:lvlJc w:val="left"/>
      <w:pPr>
        <w:ind w:left="3720" w:hanging="360"/>
      </w:pPr>
      <w:rPr/>
    </w:lvl>
    <w:lvl w:ilvl="8">
      <w:start w:val="1"/>
      <w:numFmt w:val="bullet"/>
      <w:lvlText w:val="▪"/>
      <w:lvlJc w:val="left"/>
      <w:pPr>
        <w:ind w:left="40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