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17. Tržní ekonomika,peníze, inflace, bankovní soustava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Trh, tržní systém, druhy trhů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trh= místo, kde setkává nabídka a poptávka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druhy podle statků, které se směňují: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trhy výrobních faktorů ( práce, půdy, kapitálu)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trh peněz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trh zboží a služeb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další rozdělení podle: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velikosti – místní, národní, světový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množství směňovaného zboží – dílčí, agregátní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tržní systém je založen na volném působení sil, které prostřednictvím trhů koordinují ekonomiku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důraz na soukromé vlastnictví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vynutitelnost práva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konkurence, nabídka, poptávka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cenový mechanismus apod.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Existence trhu je předpokladem prohlubování specializace jednotlivých subjektů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umožňuje směnu vyrobených statků, za potřebné statky pro vlastní potřebu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původně směna představovala prostou výměnu – naturální tzv. Barter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průběhu času vznikli peníze jako specifický statek, vyjadřující hodnotu všech ostatních statků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finanční ohodnocení statků= cena – vytváří se potkáváním nabídky a poptávky, plní informační funkci – o vzácnosti statku, další fce jsou motivační, alokační, distribuční, je vyjádřena v peněžních jednotkách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Nabídka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je ochota prodat určité množství statku za danou cenu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charakterizuje funkční vztah mezi cenou a nabízeným množstvím statku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při vyjádření graficky získáme rostoucí nabídkovou křivku, ta vyjadřuje různé kombinace ceny a nabízeného množství , její tvar vyplývá ze zákona rostoucí nabídky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pohyby: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pohyb po nabídkové křivce – změna ceny nabízeného statku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pohyb nabídkové křivky – při změně technologií nebo při změně cen vstupů</w:t>
      </w:r>
    </w:p>
    <w:p w:rsidR="00000000" w:rsidDel="00000000" w:rsidP="00000000" w:rsidRDefault="00000000" w:rsidRPr="00000000" w14:paraId="0000001D">
      <w:pPr>
        <w:tabs>
          <w:tab w:val="left" w:pos="7000"/>
        </w:tabs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7000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Poptávka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je ochota nakoupit určité množství statků při dané ceně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vztah mezi cenou a příslušným poptávaným množstvím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dělíme: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individuální – poptávka jednoho subjektu po jednom zboží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dílčí – po jednom zboží ze strany všech kupujících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agregátní – po všech druzích zboží v rámci dané ekonomik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v grafickém vyjádření odpovídá klesající křivka, vyjadřuje vztah mezi cenou a poptávaným zbožím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křivka zachycuje zákon klesající poptávky – s růstem ceny klesá poptávané množství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pohyby: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 křivce jsou způsobeny změnou výše ceny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křivky jsou například při změně příjmů poptávajících nebo při změně ceny substitutů a komplementů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substituty = statky, které ve své potřebě nahrazují, komplementy = statky, které se ve své potřebě doplňují a dohromady tvoří jeden spotřebovaný celek ( benzin je komplement auta</w:t>
      </w:r>
    </w:p>
    <w:p w:rsidR="00000000" w:rsidDel="00000000" w:rsidP="00000000" w:rsidRDefault="00000000" w:rsidRPr="00000000" w14:paraId="0000002B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7000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Tržní mechanismus a rovnováha trhu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princip, při němž se pomocí změny ceny vzájemně vyrovná nabídka a poptávka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tržní systém funguje na principu tržního mechanismu, který vede k ustanovení rovnováhy na trzích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trh je v rovnováze pokud se nabízené množství rovná poptávanému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cena při níž nastává rovnováha se nazývá rovnovážná cena, množství rovnovážným množstvím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trhy mají tendenci směřovat do rovnovážné situace: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pokud je přebytek zboží, převažuje nabídka nad poptávkou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poklesy nabízeného zboží a současně k růstu poptávaného povede snížení ceny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tento pohyb ustane při rovnováze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 případě nedostatku zboží, převažuje poptávka nad nabídkou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růst ceny při současném poklesu poptávky a růstu nabízeného množství až do bodu vyrovnání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tímto tržním mechanismem se automaticky obnovuje rovnováha na všech trzích ekonomiky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trhy nejsou izolované a vzájemně se ovlivňují</w:t>
      </w:r>
    </w:p>
    <w:p w:rsidR="00000000" w:rsidDel="00000000" w:rsidP="00000000" w:rsidRDefault="00000000" w:rsidRPr="00000000" w14:paraId="00000039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7000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Konkurence a její druhy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= rivalita mezi subjekty, které střetávají na trzích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je podmínkou fungování tržní mechanismu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je omezena zákonem, aby nedocházelo k nekalému jednání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nabývá několika forem, nejznámější je na straně nabídky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 rámci ní se konkurenční firmy snaží zmenšit vliv ostatních, posílit svůj podíl na trhu a zvýšit, tak svůj zisk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existuje i na straně poptávky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poptávající soupeří o nejvýchodnější nákup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napříč trhem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nabízející se snaží dosáhnout, co nejvyšší prodejní ceny a kupující chtějí nakoupit , co nejlevněji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druhy: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podle konkurenčního boje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cenová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nástroj prosazování zájmů firem je snižování prodejní ceny s cílem získat tržní podíl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necenová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nástroje: zlepšování kvality, reklamní kampaně, doplňkové služby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podle postavení výrobců na trhu: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dokonalá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velmi mnoho výrobců nabízejících shodný výrobek a neovlivňují vzájemně tržní cenu výrobku 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volný vstup a výstup z odvětví (přesuny bez nákladů)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dokonalé informace o cenách a množství zboží na trhu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abstraktní model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nedokonalá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vzniká při porušení alespoň jedné z podmínek dokonalé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dělí se podle počtu nabízejících: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tabs>
          <w:tab w:val="left" w:pos="7000"/>
        </w:tabs>
        <w:ind w:left="2520" w:hanging="360"/>
        <w:jc w:val="left"/>
        <w:rPr/>
      </w:pPr>
      <w:r w:rsidDel="00000000" w:rsidR="00000000" w:rsidRPr="00000000">
        <w:rPr>
          <w:rtl w:val="0"/>
        </w:rPr>
        <w:t xml:space="preserve">monopolistická konkurence</w:t>
      </w:r>
    </w:p>
    <w:p w:rsidR="00000000" w:rsidDel="00000000" w:rsidP="00000000" w:rsidRDefault="00000000" w:rsidRPr="00000000" w14:paraId="00000054">
      <w:pPr>
        <w:numPr>
          <w:ilvl w:val="6"/>
          <w:numId w:val="1"/>
        </w:numPr>
        <w:tabs>
          <w:tab w:val="left" w:pos="7000"/>
        </w:tabs>
        <w:ind w:left="2880" w:hanging="360"/>
        <w:jc w:val="left"/>
        <w:rPr/>
      </w:pPr>
      <w:r w:rsidDel="00000000" w:rsidR="00000000" w:rsidRPr="00000000">
        <w:rPr>
          <w:rtl w:val="0"/>
        </w:rPr>
        <w:t xml:space="preserve">velká skupina výrobců nabízí z hlediska zákazníka rozlišitelný výrobek</w:t>
      </w:r>
    </w:p>
    <w:p w:rsidR="00000000" w:rsidDel="00000000" w:rsidP="00000000" w:rsidRDefault="00000000" w:rsidRPr="00000000" w14:paraId="00000055">
      <w:pPr>
        <w:numPr>
          <w:ilvl w:val="6"/>
          <w:numId w:val="1"/>
        </w:numPr>
        <w:tabs>
          <w:tab w:val="left" w:pos="7000"/>
        </w:tabs>
        <w:ind w:left="2880" w:hanging="360"/>
        <w:jc w:val="left"/>
        <w:rPr/>
      </w:pPr>
      <w:r w:rsidDel="00000000" w:rsidR="00000000" w:rsidRPr="00000000">
        <w:rPr>
          <w:rtl w:val="0"/>
        </w:rPr>
        <w:t xml:space="preserve">ceny se liší, ale cenové rozdíly nemohou být příliš velké z důvodu velké konkurence</w:t>
      </w:r>
    </w:p>
    <w:p w:rsidR="00000000" w:rsidDel="00000000" w:rsidP="00000000" w:rsidRDefault="00000000" w:rsidRPr="00000000" w14:paraId="00000056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5"/>
          <w:numId w:val="1"/>
        </w:numPr>
        <w:tabs>
          <w:tab w:val="left" w:pos="7000"/>
        </w:tabs>
        <w:ind w:left="2520" w:hanging="360"/>
        <w:jc w:val="left"/>
        <w:rPr/>
      </w:pPr>
      <w:r w:rsidDel="00000000" w:rsidR="00000000" w:rsidRPr="00000000">
        <w:rPr>
          <w:rtl w:val="0"/>
        </w:rPr>
        <w:t xml:space="preserve">oligopol</w:t>
      </w:r>
    </w:p>
    <w:p w:rsidR="00000000" w:rsidDel="00000000" w:rsidP="00000000" w:rsidRDefault="00000000" w:rsidRPr="00000000" w14:paraId="00000059">
      <w:pPr>
        <w:numPr>
          <w:ilvl w:val="6"/>
          <w:numId w:val="1"/>
        </w:numPr>
        <w:tabs>
          <w:tab w:val="left" w:pos="7000"/>
        </w:tabs>
        <w:ind w:left="2880" w:hanging="360"/>
        <w:jc w:val="left"/>
        <w:rPr/>
      </w:pPr>
      <w:r w:rsidDel="00000000" w:rsidR="00000000" w:rsidRPr="00000000">
        <w:rPr>
          <w:rtl w:val="0"/>
        </w:rPr>
        <w:t xml:space="preserve">malý počet firem v odvětví, každá disponuje možností ovlivnit cenu zboží</w:t>
      </w:r>
    </w:p>
    <w:p w:rsidR="00000000" w:rsidDel="00000000" w:rsidP="00000000" w:rsidRDefault="00000000" w:rsidRPr="00000000" w14:paraId="0000005A">
      <w:pPr>
        <w:numPr>
          <w:ilvl w:val="6"/>
          <w:numId w:val="1"/>
        </w:numPr>
        <w:tabs>
          <w:tab w:val="left" w:pos="7000"/>
        </w:tabs>
        <w:ind w:left="2880" w:hanging="360"/>
        <w:jc w:val="left"/>
        <w:rPr/>
      </w:pPr>
      <w:r w:rsidDel="00000000" w:rsidR="00000000" w:rsidRPr="00000000">
        <w:rPr>
          <w:rtl w:val="0"/>
        </w:rPr>
        <w:t xml:space="preserve">společně brání vstupu dalších firem a uměle udržují nedostatek zboží</w:t>
      </w:r>
    </w:p>
    <w:p w:rsidR="00000000" w:rsidDel="00000000" w:rsidP="00000000" w:rsidRDefault="00000000" w:rsidRPr="00000000" w14:paraId="0000005B">
      <w:pPr>
        <w:numPr>
          <w:ilvl w:val="6"/>
          <w:numId w:val="1"/>
        </w:numPr>
        <w:tabs>
          <w:tab w:val="left" w:pos="7000"/>
        </w:tabs>
        <w:ind w:left="2880" w:hanging="360"/>
        <w:jc w:val="left"/>
        <w:rPr/>
      </w:pPr>
      <w:r w:rsidDel="00000000" w:rsidR="00000000" w:rsidRPr="00000000">
        <w:rPr>
          <w:rtl w:val="0"/>
        </w:rPr>
        <w:t xml:space="preserve">kartel – několik firem jednajících ve shodě s cílem maximalizace zisku, dohodnou se na minimální ceně zboží nebo na omezení objemu produkce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tabs>
          <w:tab w:val="left" w:pos="7000"/>
        </w:tabs>
        <w:ind w:left="2520" w:hanging="360"/>
        <w:jc w:val="left"/>
        <w:rPr/>
      </w:pPr>
      <w:r w:rsidDel="00000000" w:rsidR="00000000" w:rsidRPr="00000000">
        <w:rPr>
          <w:rtl w:val="0"/>
        </w:rPr>
        <w:t xml:space="preserve">monopol</w:t>
      </w:r>
    </w:p>
    <w:p w:rsidR="00000000" w:rsidDel="00000000" w:rsidP="00000000" w:rsidRDefault="00000000" w:rsidRPr="00000000" w14:paraId="0000005D">
      <w:pPr>
        <w:numPr>
          <w:ilvl w:val="6"/>
          <w:numId w:val="1"/>
        </w:numPr>
        <w:tabs>
          <w:tab w:val="left" w:pos="7000"/>
        </w:tabs>
        <w:ind w:left="2880" w:hanging="360"/>
        <w:jc w:val="left"/>
        <w:rPr/>
      </w:pPr>
      <w:r w:rsidDel="00000000" w:rsidR="00000000" w:rsidRPr="00000000">
        <w:rPr>
          <w:rtl w:val="0"/>
        </w:rPr>
        <w:t xml:space="preserve">jeden výrobce má plnou kontrolu nad prodejní cenou</w:t>
      </w:r>
    </w:p>
    <w:p w:rsidR="00000000" w:rsidDel="00000000" w:rsidP="00000000" w:rsidRDefault="00000000" w:rsidRPr="00000000" w14:paraId="0000005E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pos="7000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Peníze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jsou zvláštním druhem ekonomického statku, který je všeobecně přijímán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tržní ekonomika je svou povahou peněžní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historický vývoj vedl od různých typů komodit používaných k placení přes drahé kovy až k papírovým a depozitním penězům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zbožové=komoditní peníze jsou zvláštním zbožím, které jsou ochotni prodávající za své výrobky přijímat ( mušle, plátno, kožešiny, dobytek atd.)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rozlišujeme hodnotu nominální – vytištěná a reálnou – množství zboží a služeb, které si za daný objem peněz můžu pořídit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funkce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prostředek směny – schopnost peněz směnit je za statky, je založené na ochotě ekonomických subjektů přijímat peníze k úhradě závazků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zúčtovací jednotky – schopnost měřit hodnotu všech ostatních statků, umožňují porovnávat hodnoty různého zboží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uchovatele hodnoty – uchovávat hodnoty v čase, pokud měna nepodléhá inflaci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vlastnosti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jsou stejnorodé, dělitelné,trvanlivé, mají velkou hodnotu a jsou přenositelné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dělíme podle druhu: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hotovostní – bankovky a mince = tzv. Oběživo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bezhotovostní – zápisy na bankovních účtech, depozita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dříve byly peníze směnitelné za zlato = zlatý standard, poté pouze americký dolar tzv. Brettonwoodsský systém</w:t>
      </w:r>
    </w:p>
    <w:p w:rsidR="00000000" w:rsidDel="00000000" w:rsidP="00000000" w:rsidRDefault="00000000" w:rsidRPr="00000000" w14:paraId="0000006F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pos="7000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Inflace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růst cenové hladiny v čase, opačným směrem je deflace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způsobuje pokles kupní síly peněz, znehodnocuje úspory a půjčky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změny určuje její míra – udává procentní změnu její hladiny v čase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vývoj se měří pomocí cenových indexů, kterými je sledován pohyb cen vybraných statků: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index spotřebitelských cen – velikost změny výdajů na nákup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index cen výrobců – sleduje například vývoj cen surovin, strojů, služeb, …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formy: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mírná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růst cenové hladiny do 10 % ročně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negativní důsledky jsou minimální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běžná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pádivá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do 100 % ročně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zhoršuje ekonomickou výkonnost země a způsobuje výrazné změny v přerozdělování důchodu ve společnosti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příznak nezdravého ekonomického vývoje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hyperinflace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stovky až tisíce procent ročně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dezorganizace hospodářského života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Německo po první světové válce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peníze nahrazovány statky, které si udržují hodnotu v čase ( zlato, pozemky)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dle dopadu na ekonomiku: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anticipovaná – očekávaná, nepoškozuje subjekty v ekonomice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neanticipovaná – nelze s ní dopředu počítat</w:t>
      </w:r>
    </w:p>
    <w:p w:rsidR="00000000" w:rsidDel="00000000" w:rsidP="00000000" w:rsidRDefault="00000000" w:rsidRPr="00000000" w14:paraId="00000088">
      <w:pPr>
        <w:tabs>
          <w:tab w:val="left" w:pos="7000"/>
        </w:tabs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pos="7000"/>
        </w:tabs>
        <w:ind w:left="720" w:hanging="360"/>
        <w:jc w:val="left"/>
        <w:rPr/>
      </w:pPr>
      <w:r w:rsidDel="00000000" w:rsidR="00000000" w:rsidRPr="00000000">
        <w:rPr>
          <w:rtl w:val="0"/>
        </w:rPr>
        <w:t xml:space="preserve">Bankovní soustava a ČNB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je souhrn bank působících na území daného státu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je základem finančního systému tržní ekonomiky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tabs>
          <w:tab w:val="left" w:pos="7000"/>
        </w:tabs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dvoustupňová bankovní soustava: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centrální banka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instituce zřízená státem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péče o stabilitu měny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dohled na finančním trhem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regulace působení finančních institucí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emise hotovostních peněz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vedení bankovních účtů státních orgánů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cíle: stabilní cenová hladina, vysoká zaměstnanost, hospodářský růst, stabilní měnový kurz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nástroje monetární politiky: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změny ve výši povinných minimálních rezerv – kolik procent z vkladů musejí mít komerční banky uloženy u centrální; tím zvyšuje/snižuje objem peněz, které můžou komerční banky půjčit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operací na volném trhu – zvyšuje/snižuje množství peněz v oběhu prostřednictvím nákupu nebo prodejem vládních cenných papírů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změny úrokových sazeb – určuje diskontní sazbu ( jí jsou určeny krátkodobé vklady komerčních bank u centrální), lombardní sazbu (jí jsou úročeny úvěry poskytnuté centrální bankou bankám komerčním), repo sazbu ( úročení hotovosti, kterou komerční vydaly za dohodnu té cenné papíry centrální)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v ČR tuto funkci plní Česká národní banka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jejím nejvyšším orgánem je bankovní rada, v jejímž čele stojí na 6 let volený    guvernér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tabs>
          <w:tab w:val="left" w:pos="7000"/>
        </w:tabs>
        <w:ind w:left="1440" w:hanging="360"/>
        <w:jc w:val="left"/>
        <w:rPr/>
      </w:pPr>
      <w:r w:rsidDel="00000000" w:rsidR="00000000" w:rsidRPr="00000000">
        <w:rPr>
          <w:rtl w:val="0"/>
        </w:rPr>
        <w:t xml:space="preserve">komerční banky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podnikatelské subjekty, poskytují finanční služby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typy operací: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aktivní – poskytování úvěrů, transakce s hotovostí, vklady u bank,…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pasivní – vkladové operace, přijímaní úvěrů bankou, emise cenných papírů, …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tabs>
          <w:tab w:val="left" w:pos="7000"/>
        </w:tabs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neutrální – platební a zúčtovací operace ( převod z účtu na účet), služby zákazníkům, devizové a směnárenské operace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bezhotovostní platební styk dělíme na vnitrobankovní a mezibankovní nebo tuzemský a zahraniční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svůj zisk vytváří především z rozdílu mezi přijímanými a vyplácenými úroky, poplatky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3175</wp:posOffset>
            </wp:positionH>
            <wp:positionV relativeFrom="paragraph">
              <wp:posOffset>5122545</wp:posOffset>
            </wp:positionV>
            <wp:extent cx="14760" cy="72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760" cy="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tabs>
          <w:tab w:val="left" w:pos="7000"/>
        </w:tabs>
        <w:ind w:left="1800" w:hanging="360"/>
        <w:jc w:val="left"/>
        <w:rPr/>
      </w:pPr>
      <w:r w:rsidDel="00000000" w:rsidR="00000000" w:rsidRPr="00000000">
        <w:rPr>
          <w:rtl w:val="0"/>
        </w:rPr>
        <w:t xml:space="preserve">úrok je peněžní odměna za půjčení peněz a je procentně vyjádřena úrokovou sazbou, celkové náklady na poskytnutý úvěr vyjadřuje roční procentní sazba nákladů</w:t>
      </w:r>
    </w:p>
    <w:p w:rsidR="00000000" w:rsidDel="00000000" w:rsidP="00000000" w:rsidRDefault="00000000" w:rsidRPr="00000000" w14:paraId="000000A4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000"/>
        </w:tabs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-239394</wp:posOffset>
            </wp:positionH>
            <wp:positionV relativeFrom="paragraph">
              <wp:posOffset>234950</wp:posOffset>
            </wp:positionV>
            <wp:extent cx="2966720" cy="222504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22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-38734</wp:posOffset>
            </wp:positionH>
            <wp:positionV relativeFrom="paragraph">
              <wp:posOffset>2578100</wp:posOffset>
            </wp:positionV>
            <wp:extent cx="3848100" cy="288607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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