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B6B09">
      <w:pPr>
        <w:spacing w:line="360" w:lineRule="auto"/>
        <w:jc w:val="center"/>
        <w:rPr>
          <w:rFonts w:hint="eastAsia" w:ascii="宋体" w:hAnsi="宋体" w:eastAsia="宋体" w:cs="宋体"/>
          <w:b/>
          <w:bCs/>
          <w:sz w:val="36"/>
          <w:szCs w:val="44"/>
          <w:lang w:val="en-US" w:eastAsia="zh-CN"/>
        </w:rPr>
      </w:pPr>
      <w:r>
        <w:rPr>
          <w:rFonts w:hint="eastAsia" w:ascii="宋体" w:hAnsi="宋体" w:eastAsia="宋体" w:cs="宋体"/>
          <w:b/>
          <w:bCs/>
          <w:sz w:val="36"/>
          <w:szCs w:val="44"/>
          <w:lang w:val="en-US" w:eastAsia="zh-CN"/>
        </w:rPr>
        <w:t>中国式</w:t>
      </w:r>
      <w:r>
        <w:rPr>
          <w:rFonts w:hint="eastAsia" w:ascii="Times New Roman" w:hAnsi="Times New Roman" w:eastAsia="宋体" w:cs="宋体"/>
          <w:b/>
          <w:bCs/>
          <w:sz w:val="36"/>
          <w:szCs w:val="44"/>
          <w:lang w:val="en-US" w:eastAsia="zh-CN"/>
        </w:rPr>
        <w:t>Web3</w:t>
      </w:r>
      <w:r>
        <w:rPr>
          <w:rFonts w:hint="eastAsia" w:ascii="宋体" w:hAnsi="宋体" w:eastAsia="宋体" w:cs="宋体"/>
          <w:b/>
          <w:bCs/>
          <w:sz w:val="36"/>
          <w:szCs w:val="44"/>
          <w:lang w:val="en-US" w:eastAsia="zh-CN"/>
        </w:rPr>
        <w:t>.</w:t>
      </w:r>
      <w:r>
        <w:rPr>
          <w:rFonts w:hint="eastAsia" w:ascii="Times New Roman" w:hAnsi="Times New Roman" w:eastAsia="宋体" w:cs="宋体"/>
          <w:b/>
          <w:bCs/>
          <w:sz w:val="36"/>
          <w:szCs w:val="44"/>
          <w:lang w:val="en-US" w:eastAsia="zh-CN"/>
        </w:rPr>
        <w:t>0</w:t>
      </w:r>
      <w:r>
        <w:rPr>
          <w:rFonts w:hint="eastAsia" w:ascii="宋体" w:hAnsi="宋体" w:eastAsia="宋体" w:cs="宋体"/>
          <w:b/>
          <w:bCs/>
          <w:sz w:val="36"/>
          <w:szCs w:val="44"/>
          <w:lang w:val="en-US" w:eastAsia="zh-CN"/>
        </w:rPr>
        <w:t>发展范式：</w:t>
      </w:r>
    </w:p>
    <w:p w14:paraId="1D4B5C3C">
      <w:pPr>
        <w:spacing w:line="360" w:lineRule="auto"/>
        <w:jc w:val="center"/>
        <w:rPr>
          <w:rFonts w:hint="eastAsia" w:ascii="宋体" w:hAnsi="宋体" w:eastAsia="宋体" w:cs="宋体"/>
          <w:b/>
          <w:bCs/>
          <w:sz w:val="36"/>
          <w:szCs w:val="44"/>
          <w:lang w:val="en-US" w:eastAsia="zh-CN"/>
        </w:rPr>
      </w:pPr>
      <w:r>
        <w:rPr>
          <w:rFonts w:hint="eastAsia" w:ascii="宋体" w:hAnsi="宋体" w:eastAsia="宋体" w:cs="宋体"/>
          <w:b/>
          <w:bCs/>
          <w:sz w:val="36"/>
          <w:szCs w:val="44"/>
          <w:lang w:val="en-US" w:eastAsia="zh-CN"/>
        </w:rPr>
        <w:t>底层技术赋能、强合规驱动与主权数字货币生态的</w:t>
      </w:r>
    </w:p>
    <w:p w14:paraId="2C6AFA73">
      <w:pPr>
        <w:spacing w:line="360" w:lineRule="auto"/>
        <w:jc w:val="center"/>
        <w:rPr>
          <w:rFonts w:hint="eastAsia" w:ascii="宋体" w:hAnsi="宋体" w:eastAsia="宋体" w:cs="宋体"/>
          <w:b/>
          <w:bCs/>
          <w:sz w:val="24"/>
          <w:szCs w:val="24"/>
          <w:lang w:val="en-US" w:eastAsia="zh-CN"/>
        </w:rPr>
      </w:pPr>
      <w:r>
        <w:rPr>
          <w:rFonts w:hint="eastAsia" w:ascii="宋体" w:hAnsi="宋体" w:eastAsia="宋体" w:cs="宋体"/>
          <w:b/>
          <w:bCs/>
          <w:sz w:val="36"/>
          <w:szCs w:val="44"/>
          <w:lang w:val="en-US" w:eastAsia="zh-CN"/>
        </w:rPr>
        <w:t>深度融合</w:t>
      </w:r>
    </w:p>
    <w:p w14:paraId="1285275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【绪论：全球演进视野下的中国</w:t>
      </w:r>
      <w:r>
        <w:rPr>
          <w:rFonts w:hint="eastAsia" w:ascii="Times New Roman" w:hAnsi="Times New Roman" w:eastAsia="宋体" w:cs="宋体"/>
          <w:b/>
          <w:bCs/>
          <w:sz w:val="24"/>
          <w:szCs w:val="24"/>
          <w:lang w:val="en-US" w:eastAsia="zh-CN"/>
        </w:rPr>
        <w:t>Web3</w:t>
      </w:r>
      <w:r>
        <w:rPr>
          <w:rFonts w:hint="eastAsia" w:ascii="宋体" w:hAnsi="宋体" w:eastAsia="宋体" w:cs="宋体"/>
          <w:b/>
          <w:bCs/>
          <w:sz w:val="24"/>
          <w:szCs w:val="24"/>
          <w:lang w:val="en-US" w:eastAsia="zh-CN"/>
        </w:rPr>
        <w:t>.</w:t>
      </w:r>
      <w:r>
        <w:rPr>
          <w:rFonts w:hint="eastAsia" w:ascii="Times New Roman" w:hAnsi="Times New Roman" w:eastAsia="宋体" w:cs="宋体"/>
          <w:b/>
          <w:bCs/>
          <w:sz w:val="24"/>
          <w:szCs w:val="24"/>
          <w:lang w:val="en-US" w:eastAsia="zh-CN"/>
        </w:rPr>
        <w:t>0</w:t>
      </w:r>
      <w:r>
        <w:rPr>
          <w:rFonts w:hint="eastAsia" w:ascii="宋体" w:hAnsi="宋体" w:eastAsia="宋体" w:cs="宋体"/>
          <w:b/>
          <w:bCs/>
          <w:sz w:val="24"/>
          <w:szCs w:val="24"/>
          <w:lang w:val="en-US" w:eastAsia="zh-CN"/>
        </w:rPr>
        <w:t>路径抉择】</w:t>
      </w:r>
    </w:p>
    <w:p w14:paraId="5FE784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在二十一世纪第三个十年的中叶，全球互联网正经历着从“信息交换”向“价值交换”的范式跃迁。</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作为这一变革的核心叙事，在不同主权辖区内呈现出截然不同的演化路径。西方语境下的</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长期由去中心化金融（</w:t>
      </w:r>
      <w:r>
        <w:rPr>
          <w:rFonts w:hint="eastAsia" w:ascii="Times New Roman" w:hAnsi="Times New Roman" w:eastAsia="宋体" w:cs="宋体"/>
          <w:sz w:val="24"/>
          <w:szCs w:val="24"/>
          <w:lang w:val="en-US" w:eastAsia="zh-CN"/>
        </w:rPr>
        <w:t>DeFi</w:t>
      </w:r>
      <w:r>
        <w:rPr>
          <w:rFonts w:hint="eastAsia" w:ascii="宋体" w:hAnsi="宋体" w:eastAsia="宋体" w:cs="宋体"/>
          <w:sz w:val="24"/>
          <w:szCs w:val="24"/>
          <w:lang w:val="en-US" w:eastAsia="zh-CN"/>
        </w:rPr>
        <w:t>）、非对称加密资产（</w:t>
      </w:r>
      <w:r>
        <w:rPr>
          <w:rFonts w:hint="eastAsia" w:ascii="Times New Roman" w:hAnsi="Times New Roman" w:eastAsia="宋体" w:cs="宋体"/>
          <w:sz w:val="24"/>
          <w:szCs w:val="24"/>
          <w:lang w:val="en-US" w:eastAsia="zh-CN"/>
        </w:rPr>
        <w:t>Token</w:t>
      </w:r>
      <w:r>
        <w:rPr>
          <w:rFonts w:hint="eastAsia" w:ascii="宋体" w:hAnsi="宋体" w:eastAsia="宋体" w:cs="宋体"/>
          <w:sz w:val="24"/>
          <w:szCs w:val="24"/>
          <w:lang w:val="en-US" w:eastAsia="zh-CN"/>
        </w:rPr>
        <w:t>）以及无国界自治组织（</w:t>
      </w:r>
      <w:r>
        <w:rPr>
          <w:rFonts w:hint="eastAsia" w:ascii="Times New Roman" w:hAnsi="Times New Roman" w:eastAsia="宋体" w:cs="宋体"/>
          <w:sz w:val="24"/>
          <w:szCs w:val="24"/>
          <w:lang w:val="en-US" w:eastAsia="zh-CN"/>
        </w:rPr>
        <w:t>DAO</w:t>
      </w:r>
      <w:r>
        <w:rPr>
          <w:rFonts w:hint="eastAsia" w:ascii="宋体" w:hAnsi="宋体" w:eastAsia="宋体" w:cs="宋体"/>
          <w:sz w:val="24"/>
          <w:szCs w:val="24"/>
          <w:lang w:val="en-US" w:eastAsia="zh-CN"/>
        </w:rPr>
        <w:t>）所定义，其核心逻辑在于挑战中心化金融机构的权威与监管边界。然而，中国境内的</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发展则遵循了一套完全不同的底层逻辑。中国式</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的核心主轴在于“剥离金融投机属性”与“强化技术赋能实体”，这并非简单的监管收紧，而是一次深刻的生产力重构。</w:t>
      </w:r>
    </w:p>
    <w:p w14:paraId="466432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进入</w:t>
      </w:r>
      <w:r>
        <w:rPr>
          <w:rFonts w:hint="eastAsia" w:ascii="Times New Roman" w:hAnsi="Times New Roman" w:eastAsia="宋体" w:cs="宋体"/>
          <w:sz w:val="24"/>
          <w:szCs w:val="24"/>
          <w:lang w:val="en-US" w:eastAsia="zh-CN"/>
        </w:rPr>
        <w:t>2025</w:t>
      </w:r>
      <w:r>
        <w:rPr>
          <w:rFonts w:hint="eastAsia" w:ascii="宋体" w:hAnsi="宋体" w:eastAsia="宋体" w:cs="宋体"/>
          <w:sz w:val="24"/>
          <w:szCs w:val="24"/>
          <w:lang w:val="en-US" w:eastAsia="zh-CN"/>
        </w:rPr>
        <w:t>年至</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年的关键周期，中国境内的</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产业已从早期的概念探讨和局部试点，全面转向以国家战略为引领、以强合规为底线、以新质生产力为动能的规模化落地阶段。这一范式的核心在于，将区块链、分布式账本（</w:t>
      </w:r>
      <w:r>
        <w:rPr>
          <w:rFonts w:hint="eastAsia" w:ascii="Times New Roman" w:hAnsi="Times New Roman" w:eastAsia="宋体" w:cs="宋体"/>
          <w:sz w:val="24"/>
          <w:szCs w:val="24"/>
          <w:lang w:val="en-US" w:eastAsia="zh-CN"/>
        </w:rPr>
        <w:t>DLT</w:t>
      </w:r>
      <w:r>
        <w:rPr>
          <w:rFonts w:hint="eastAsia" w:ascii="宋体" w:hAnsi="宋体" w:eastAsia="宋体" w:cs="宋体"/>
          <w:sz w:val="24"/>
          <w:szCs w:val="24"/>
          <w:lang w:val="en-US" w:eastAsia="zh-CN"/>
        </w:rPr>
        <w:t>）、智能合约与隐私计算等技术视为数字化转型的底层基础设施，而非资产炒作的工具。通过将这些技术深度嵌入主权货币体系（数字人民币）、政务治理、供应链金融及数据要素市场，中国正在构建一套全球领先的、主权可控的价值互联网生态。</w:t>
      </w:r>
    </w:p>
    <w:p w14:paraId="23E60F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一、顶层政策设计：从技术工具到新质生产力</w:t>
      </w:r>
    </w:p>
    <w:p w14:paraId="0575B8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政策逻辑的深度转变：赋能而非博弈</w:t>
      </w:r>
    </w:p>
    <w:p w14:paraId="21EEA9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中国对</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的官方立场在</w:t>
      </w:r>
      <w:r>
        <w:rPr>
          <w:rFonts w:hint="eastAsia" w:ascii="Times New Roman" w:hAnsi="Times New Roman" w:eastAsia="宋体" w:cs="宋体"/>
          <w:sz w:val="24"/>
          <w:szCs w:val="24"/>
          <w:lang w:val="en-US" w:eastAsia="zh-CN"/>
        </w:rPr>
        <w:t>2024</w:t>
      </w:r>
      <w:r>
        <w:rPr>
          <w:rFonts w:hint="eastAsia" w:ascii="宋体" w:hAnsi="宋体" w:eastAsia="宋体" w:cs="宋体"/>
          <w:sz w:val="24"/>
          <w:szCs w:val="24"/>
          <w:lang w:val="en-US" w:eastAsia="zh-CN"/>
        </w:rPr>
        <w:t>年至</w:t>
      </w:r>
      <w:r>
        <w:rPr>
          <w:rFonts w:hint="eastAsia" w:ascii="Times New Roman" w:hAnsi="Times New Roman" w:eastAsia="宋体" w:cs="宋体"/>
          <w:sz w:val="24"/>
          <w:szCs w:val="24"/>
          <w:lang w:val="en-US" w:eastAsia="zh-CN"/>
        </w:rPr>
        <w:t>2025</w:t>
      </w:r>
      <w:r>
        <w:rPr>
          <w:rFonts w:hint="eastAsia" w:ascii="宋体" w:hAnsi="宋体" w:eastAsia="宋体" w:cs="宋体"/>
          <w:sz w:val="24"/>
          <w:szCs w:val="24"/>
          <w:lang w:val="en-US" w:eastAsia="zh-CN"/>
        </w:rPr>
        <w:t>年间经历了重要的定调升级。国家部委与地方政府不再仅将其视为一种新型互联网技术，而是将其定位于“培植新质生产力的关键核心技术”。这一转变意味着，</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的技术栈被要求服务于国家战略大局，即通过提升生产关系效率来释放被禁锢的生产力。</w:t>
      </w:r>
    </w:p>
    <w:p w14:paraId="555358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与西方国家试图通过区块链实现“监管脱媒”不同，中国的顶层设计旨在利用区块链的不可篡改、可溯源特性，建立一种更高维度的“数字信任”体系。</w:t>
      </w:r>
      <w:r>
        <w:rPr>
          <w:rFonts w:hint="eastAsia" w:ascii="Times New Roman" w:hAnsi="Times New Roman" w:eastAsia="宋体" w:cs="宋体"/>
          <w:sz w:val="24"/>
          <w:szCs w:val="24"/>
          <w:lang w:val="en-US" w:eastAsia="zh-CN"/>
        </w:rPr>
        <w:t>2024</w:t>
      </w:r>
      <w:r>
        <w:rPr>
          <w:rFonts w:hint="eastAsia" w:ascii="宋体" w:hAnsi="宋体" w:eastAsia="宋体" w:cs="宋体"/>
          <w:sz w:val="24"/>
          <w:szCs w:val="24"/>
          <w:lang w:val="en-US" w:eastAsia="zh-CN"/>
        </w:rPr>
        <w:t>年初，工信部等七部门明确提出，要探索以区块链为核心、以数据为关键要素的下一代互联网创新应用。这种政策导向精准回应了用户对数据主权的需求痛点，通过赋予用户数据分配权与收益权，吸引用户从传统的中心化平台向具备“价值归属感”的</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环境迁移。</w:t>
      </w:r>
    </w:p>
    <w:p w14:paraId="2D0CE9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2 2025</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：基础能力构建的量化飞跃</w:t>
      </w:r>
    </w:p>
    <w:p w14:paraId="41510F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根据国家</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生态建设的阶段性规划，</w:t>
      </w:r>
      <w:r>
        <w:rPr>
          <w:rFonts w:hint="eastAsia" w:ascii="Times New Roman" w:hAnsi="Times New Roman" w:eastAsia="宋体" w:cs="宋体"/>
          <w:sz w:val="24"/>
          <w:szCs w:val="24"/>
          <w:lang w:val="en-US" w:eastAsia="zh-CN"/>
        </w:rPr>
        <w:t>2025</w:t>
      </w:r>
      <w:r>
        <w:rPr>
          <w:rFonts w:hint="eastAsia" w:ascii="宋体" w:hAnsi="宋体" w:eastAsia="宋体" w:cs="宋体"/>
          <w:sz w:val="24"/>
          <w:szCs w:val="24"/>
          <w:lang w:val="en-US" w:eastAsia="zh-CN"/>
        </w:rPr>
        <w:t>年至</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年被确认为“基础能力构建阶段”。这一阶段的目标不仅限于技术突破，更强调基础设施的物理覆盖与应用渗透。</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2"/>
        <w:gridCol w:w="4019"/>
        <w:gridCol w:w="2685"/>
      </w:tblGrid>
      <w:tr w14:paraId="6C107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32" w:type="dxa"/>
            <w:tcBorders>
              <w:bottom w:val="single" w:color="919191" w:sz="2" w:space="0"/>
              <w:right w:val="nil"/>
            </w:tcBorders>
            <w:shd w:val="clear" w:color="auto" w:fill="auto"/>
            <w:vAlign w:val="top"/>
          </w:tcPr>
          <w:p w14:paraId="6BC93E5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发展维度</w:t>
            </w:r>
          </w:p>
        </w:tc>
        <w:tc>
          <w:tcPr>
            <w:tcW w:w="4019" w:type="dxa"/>
            <w:tcBorders>
              <w:left w:val="nil"/>
              <w:bottom w:val="single" w:color="919191" w:sz="2" w:space="0"/>
              <w:right w:val="nil"/>
            </w:tcBorders>
            <w:shd w:val="clear" w:color="auto" w:fill="auto"/>
            <w:vAlign w:val="top"/>
          </w:tcPr>
          <w:p w14:paraId="4345A9B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2025</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年核心量化与战略目标</w:t>
            </w:r>
          </w:p>
        </w:tc>
        <w:tc>
          <w:tcPr>
            <w:tcW w:w="2685" w:type="dxa"/>
            <w:tcBorders>
              <w:left w:val="nil"/>
              <w:bottom w:val="single" w:color="919191" w:sz="2" w:space="0"/>
            </w:tcBorders>
            <w:shd w:val="clear" w:color="auto" w:fill="auto"/>
            <w:vAlign w:val="top"/>
          </w:tcPr>
          <w:p w14:paraId="2402E9F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关键支撑技术</w:t>
            </w:r>
          </w:p>
        </w:tc>
      </w:tr>
      <w:tr w14:paraId="55473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32" w:type="dxa"/>
            <w:tcBorders>
              <w:bottom w:val="single" w:color="DDE1EB" w:sz="2" w:space="0"/>
              <w:right w:val="nil"/>
            </w:tcBorders>
            <w:shd w:val="clear" w:color="auto" w:fill="auto"/>
            <w:vAlign w:val="top"/>
          </w:tcPr>
          <w:p w14:paraId="3D83A5B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金融基础设施</w:t>
            </w:r>
          </w:p>
        </w:tc>
        <w:tc>
          <w:tcPr>
            <w:tcW w:w="4019" w:type="dxa"/>
            <w:tcBorders>
              <w:left w:val="nil"/>
              <w:bottom w:val="single" w:color="DDE1EB" w:sz="2" w:space="0"/>
              <w:right w:val="nil"/>
            </w:tcBorders>
            <w:shd w:val="clear" w:color="auto" w:fill="auto"/>
            <w:vAlign w:val="top"/>
          </w:tcPr>
          <w:p w14:paraId="02528C2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数字人民币在政务、交通、跨境领域实现</w:t>
            </w:r>
            <w:r>
              <w:rPr>
                <w:rFonts w:hint="eastAsia" w:ascii="Times New Roman" w:hAnsi="Times New Roman" w:eastAsia="宋体" w:cs="宋体"/>
                <w:sz w:val="24"/>
                <w:szCs w:val="24"/>
                <w:lang w:val="en-US" w:eastAsia="zh-CN"/>
              </w:rPr>
              <w:t>100</w:t>
            </w:r>
            <w:r>
              <w:rPr>
                <w:rFonts w:hint="eastAsia" w:ascii="宋体" w:hAnsi="宋体" w:eastAsia="宋体" w:cs="宋体"/>
                <w:sz w:val="24"/>
                <w:szCs w:val="24"/>
                <w:lang w:val="en-US" w:eastAsia="zh-CN"/>
              </w:rPr>
              <w:t>%覆盖</w:t>
            </w:r>
          </w:p>
        </w:tc>
        <w:tc>
          <w:tcPr>
            <w:tcW w:w="2685" w:type="dxa"/>
            <w:tcBorders>
              <w:left w:val="nil"/>
              <w:bottom w:val="single" w:color="DDE1EB" w:sz="2" w:space="0"/>
            </w:tcBorders>
            <w:shd w:val="clear" w:color="auto" w:fill="auto"/>
            <w:vAlign w:val="top"/>
          </w:tcPr>
          <w:p w14:paraId="2D020D4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数字人民币</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、多边货币桥(</w:t>
            </w:r>
            <w:r>
              <w:rPr>
                <w:rFonts w:hint="eastAsia" w:ascii="Times New Roman" w:hAnsi="Times New Roman" w:eastAsia="宋体" w:cs="宋体"/>
                <w:sz w:val="24"/>
                <w:szCs w:val="24"/>
                <w:lang w:val="en-US" w:eastAsia="zh-CN"/>
              </w:rPr>
              <w:t>mBridge</w:t>
            </w:r>
            <w:r>
              <w:rPr>
                <w:rFonts w:hint="eastAsia" w:ascii="宋体" w:hAnsi="宋体" w:eastAsia="宋体" w:cs="宋体"/>
                <w:sz w:val="24"/>
                <w:szCs w:val="24"/>
                <w:lang w:val="en-US" w:eastAsia="zh-CN"/>
              </w:rPr>
              <w:t>)</w:t>
            </w:r>
          </w:p>
        </w:tc>
      </w:tr>
      <w:tr w14:paraId="455F9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2" w:type="dxa"/>
            <w:tcBorders>
              <w:bottom w:val="single" w:color="DDE1EB" w:sz="2" w:space="0"/>
              <w:right w:val="nil"/>
            </w:tcBorders>
            <w:shd w:val="clear" w:color="auto" w:fill="auto"/>
            <w:vAlign w:val="top"/>
          </w:tcPr>
          <w:p w14:paraId="76224BD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底层架构</w:t>
            </w:r>
          </w:p>
        </w:tc>
        <w:tc>
          <w:tcPr>
            <w:tcW w:w="4019" w:type="dxa"/>
            <w:tcBorders>
              <w:left w:val="nil"/>
              <w:bottom w:val="single" w:color="DDE1EB" w:sz="2" w:space="0"/>
              <w:right w:val="nil"/>
            </w:tcBorders>
            <w:shd w:val="clear" w:color="auto" w:fill="auto"/>
            <w:vAlign w:val="top"/>
          </w:tcPr>
          <w:p w14:paraId="4046D6D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国家级联盟链节点覆盖所有省级行政区及重点行业</w:t>
            </w:r>
          </w:p>
        </w:tc>
        <w:tc>
          <w:tcPr>
            <w:tcW w:w="2685" w:type="dxa"/>
            <w:tcBorders>
              <w:left w:val="nil"/>
              <w:bottom w:val="single" w:color="DDE1EB" w:sz="2" w:space="0"/>
            </w:tcBorders>
            <w:shd w:val="clear" w:color="auto" w:fill="auto"/>
            <w:vAlign w:val="top"/>
          </w:tcPr>
          <w:p w14:paraId="553059A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开放许可链(</w:t>
            </w:r>
            <w:r>
              <w:rPr>
                <w:rFonts w:hint="eastAsia" w:ascii="Times New Roman" w:hAnsi="Times New Roman" w:eastAsia="宋体" w:cs="宋体"/>
                <w:sz w:val="24"/>
                <w:szCs w:val="24"/>
                <w:lang w:val="en-US" w:eastAsia="zh-CN"/>
              </w:rPr>
              <w:t>OPC</w:t>
            </w:r>
            <w:r>
              <w:rPr>
                <w:rFonts w:hint="eastAsia" w:ascii="宋体" w:hAnsi="宋体" w:eastAsia="宋体" w:cs="宋体"/>
                <w:sz w:val="24"/>
                <w:szCs w:val="24"/>
                <w:lang w:val="en-US" w:eastAsia="zh-CN"/>
              </w:rPr>
              <w:t>)、国密算法集成</w:t>
            </w:r>
          </w:p>
        </w:tc>
      </w:tr>
      <w:tr w14:paraId="0A30A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2" w:type="dxa"/>
            <w:tcBorders>
              <w:bottom w:val="single" w:color="DDE1EB" w:sz="2" w:space="0"/>
              <w:right w:val="nil"/>
            </w:tcBorders>
            <w:shd w:val="clear" w:color="auto" w:fill="auto"/>
            <w:vAlign w:val="top"/>
          </w:tcPr>
          <w:p w14:paraId="0394C03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数据要素</w:t>
            </w:r>
          </w:p>
        </w:tc>
        <w:tc>
          <w:tcPr>
            <w:tcW w:w="4019" w:type="dxa"/>
            <w:tcBorders>
              <w:left w:val="nil"/>
              <w:bottom w:val="single" w:color="DDE1EB" w:sz="2" w:space="0"/>
              <w:right w:val="nil"/>
            </w:tcBorders>
            <w:shd w:val="clear" w:color="auto" w:fill="auto"/>
            <w:vAlign w:val="top"/>
          </w:tcPr>
          <w:p w14:paraId="2BC2BB9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建立初步的数据资产化核算体系与跨区域流转标准</w:t>
            </w:r>
          </w:p>
        </w:tc>
        <w:tc>
          <w:tcPr>
            <w:tcW w:w="2685" w:type="dxa"/>
            <w:tcBorders>
              <w:left w:val="nil"/>
              <w:bottom w:val="single" w:color="DDE1EB" w:sz="2" w:space="0"/>
            </w:tcBorders>
            <w:shd w:val="clear" w:color="auto" w:fill="auto"/>
            <w:vAlign w:val="top"/>
          </w:tcPr>
          <w:p w14:paraId="7472A0E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隐私计算、区块链存证、智能合约</w:t>
            </w:r>
          </w:p>
        </w:tc>
      </w:tr>
      <w:tr w14:paraId="59057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32" w:type="dxa"/>
            <w:tcBorders>
              <w:bottom w:val="single" w:color="DDE1EB" w:sz="2" w:space="0"/>
              <w:right w:val="nil"/>
            </w:tcBorders>
            <w:shd w:val="clear" w:color="auto" w:fill="auto"/>
            <w:vAlign w:val="top"/>
          </w:tcPr>
          <w:p w14:paraId="50D42CA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身份认证</w:t>
            </w:r>
          </w:p>
        </w:tc>
        <w:tc>
          <w:tcPr>
            <w:tcW w:w="4019" w:type="dxa"/>
            <w:tcBorders>
              <w:left w:val="nil"/>
              <w:bottom w:val="single" w:color="DDE1EB" w:sz="2" w:space="0"/>
              <w:right w:val="nil"/>
            </w:tcBorders>
            <w:shd w:val="clear" w:color="auto" w:fill="auto"/>
            <w:vAlign w:val="top"/>
          </w:tcPr>
          <w:p w14:paraId="49FF89B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推广第三代互联网数字身份认证体系(</w:t>
            </w:r>
            <w:r>
              <w:rPr>
                <w:rFonts w:hint="eastAsia" w:ascii="Times New Roman" w:hAnsi="Times New Roman" w:eastAsia="宋体" w:cs="宋体"/>
                <w:sz w:val="24"/>
                <w:szCs w:val="24"/>
                <w:lang w:val="en-US" w:eastAsia="zh-CN"/>
              </w:rPr>
              <w:t>DID</w:t>
            </w:r>
            <w:r>
              <w:rPr>
                <w:rFonts w:hint="eastAsia" w:ascii="宋体" w:hAnsi="宋体" w:eastAsia="宋体" w:cs="宋体"/>
                <w:sz w:val="24"/>
                <w:szCs w:val="24"/>
                <w:lang w:val="en-US" w:eastAsia="zh-CN"/>
              </w:rPr>
              <w:t>)</w:t>
            </w:r>
          </w:p>
        </w:tc>
        <w:tc>
          <w:tcPr>
            <w:tcW w:w="2685" w:type="dxa"/>
            <w:tcBorders>
              <w:left w:val="nil"/>
              <w:bottom w:val="single" w:color="DDE1EB" w:sz="2" w:space="0"/>
            </w:tcBorders>
            <w:shd w:val="clear" w:color="auto" w:fill="auto"/>
            <w:vAlign w:val="top"/>
          </w:tcPr>
          <w:p w14:paraId="71FCD08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分布式身份标识、实名化</w:t>
            </w:r>
            <w:r>
              <w:rPr>
                <w:rFonts w:hint="eastAsia" w:ascii="Times New Roman" w:hAnsi="Times New Roman" w:eastAsia="宋体" w:cs="宋体"/>
                <w:sz w:val="24"/>
                <w:szCs w:val="24"/>
                <w:lang w:val="en-US" w:eastAsia="zh-CN"/>
              </w:rPr>
              <w:t>KYC</w:t>
            </w:r>
            <w:r>
              <w:rPr>
                <w:rFonts w:hint="eastAsia" w:ascii="宋体" w:hAnsi="宋体" w:eastAsia="宋体" w:cs="宋体"/>
                <w:sz w:val="24"/>
                <w:szCs w:val="24"/>
                <w:lang w:val="en-US" w:eastAsia="zh-CN"/>
              </w:rPr>
              <w:t>协议</w:t>
            </w:r>
          </w:p>
        </w:tc>
      </w:tr>
    </w:tbl>
    <w:p w14:paraId="0A5F97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地方政府的差异化战略矩阵</w:t>
      </w:r>
    </w:p>
    <w:p w14:paraId="7C489A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中国境内</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的发展呈现出明显的“集群化”特征，北京、上海、广东（尤其是深港联动）形成了各具特色的战略支点。</w:t>
      </w:r>
    </w:p>
    <w:p w14:paraId="074742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北京依托“长安链”等自主可控基础设施，重点解决政务数据共享与国家级核心枢纽的安全性问题。上海则致力于构建“可管可控、开源开放”的新一代开放许可链技术标准，旨在成为全球</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创新应用的高地。而广东则利用其制造业基础，侧重于“工业</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”的探索，通过区块链技术优化大湾区的供应链协同效率。</w:t>
      </w:r>
    </w:p>
    <w:p w14:paraId="2E17BB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二、数字人民币</w:t>
      </w:r>
      <w:r>
        <w:rPr>
          <w:rFonts w:hint="eastAsia" w:ascii="Times New Roman" w:hAnsi="Times New Roman" w:eastAsia="宋体" w:cs="宋体"/>
          <w:b/>
          <w:bCs/>
          <w:sz w:val="24"/>
          <w:szCs w:val="24"/>
          <w:lang w:val="en-US" w:eastAsia="zh-CN"/>
        </w:rPr>
        <w:t>2</w:t>
      </w:r>
      <w:r>
        <w:rPr>
          <w:rFonts w:hint="eastAsia" w:ascii="宋体" w:hAnsi="宋体" w:eastAsia="宋体" w:cs="宋体"/>
          <w:b/>
          <w:bCs/>
          <w:sz w:val="24"/>
          <w:szCs w:val="24"/>
          <w:lang w:val="en-US" w:eastAsia="zh-CN"/>
        </w:rPr>
        <w:t>.</w:t>
      </w:r>
      <w:r>
        <w:rPr>
          <w:rFonts w:hint="eastAsia" w:ascii="Times New Roman" w:hAnsi="Times New Roman" w:eastAsia="宋体" w:cs="宋体"/>
          <w:b/>
          <w:bCs/>
          <w:sz w:val="24"/>
          <w:szCs w:val="24"/>
          <w:lang w:val="en-US" w:eastAsia="zh-CN"/>
        </w:rPr>
        <w:t>0</w:t>
      </w:r>
      <w:r>
        <w:rPr>
          <w:rFonts w:hint="eastAsia" w:ascii="宋体" w:hAnsi="宋体" w:eastAsia="宋体" w:cs="宋体"/>
          <w:b/>
          <w:bCs/>
          <w:sz w:val="24"/>
          <w:szCs w:val="24"/>
          <w:lang w:val="en-US" w:eastAsia="zh-CN"/>
        </w:rPr>
        <w:t>：</w:t>
      </w:r>
      <w:r>
        <w:rPr>
          <w:rFonts w:hint="eastAsia" w:ascii="Times New Roman" w:hAnsi="Times New Roman" w:eastAsia="宋体" w:cs="宋体"/>
          <w:b/>
          <w:bCs/>
          <w:sz w:val="24"/>
          <w:szCs w:val="24"/>
          <w:lang w:val="en-US" w:eastAsia="zh-CN"/>
        </w:rPr>
        <w:t>Web3</w:t>
      </w:r>
      <w:r>
        <w:rPr>
          <w:rFonts w:hint="eastAsia" w:ascii="宋体" w:hAnsi="宋体" w:eastAsia="宋体" w:cs="宋体"/>
          <w:b/>
          <w:bCs/>
          <w:sz w:val="24"/>
          <w:szCs w:val="24"/>
          <w:lang w:val="en-US" w:eastAsia="zh-CN"/>
        </w:rPr>
        <w:t>.</w:t>
      </w:r>
      <w:r>
        <w:rPr>
          <w:rFonts w:hint="eastAsia" w:ascii="Times New Roman" w:hAnsi="Times New Roman" w:eastAsia="宋体" w:cs="宋体"/>
          <w:b/>
          <w:bCs/>
          <w:sz w:val="24"/>
          <w:szCs w:val="24"/>
          <w:lang w:val="en-US" w:eastAsia="zh-CN"/>
        </w:rPr>
        <w:t>0</w:t>
      </w:r>
      <w:r>
        <w:rPr>
          <w:rFonts w:hint="eastAsia" w:ascii="宋体" w:hAnsi="宋体" w:eastAsia="宋体" w:cs="宋体"/>
          <w:b/>
          <w:bCs/>
          <w:sz w:val="24"/>
          <w:szCs w:val="24"/>
          <w:lang w:val="en-US" w:eastAsia="zh-CN"/>
        </w:rPr>
        <w:t>时代的价值锚点与结算中枢</w:t>
      </w:r>
    </w:p>
    <w:p w14:paraId="3CBEDB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范式转移：从数字现金到数字存款货币</w:t>
      </w:r>
    </w:p>
    <w:p w14:paraId="032C2B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月</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日标志着中国金融史上的一个分水岭。根据《关于进一步加强数字人民币管理服务体系和相关金融基础设施建设的行动方案》，数字人民币正式从</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的“数字现金时代”迈入</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的“数字存款货币时代”。这一转变对</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生态的意义在于，它为链上资产提供了一个具有法定信用且具备“活期收益”的本币结算工具。</w:t>
      </w:r>
    </w:p>
    <w:p w14:paraId="42119A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框架下，银行机构开始为实名数字人民币钱包余额计付利息，并将其纳入准备金管理体系。这一政策逻辑本质上是赋予了数字人民币更强的“货币弹性”，使其从单纯的支付工具演变为一种具备生息能力的金融资产。对于</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应用而言，这意味着开发者可以直接在智能合约中调用具备法定地位的生息资产，极大降低了资金在链上停留的机会成本。</w:t>
      </w:r>
    </w:p>
    <w:p w14:paraId="265E37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账户体系+币串+智能合约：可编程金融的具象化</w:t>
      </w:r>
    </w:p>
    <w:p w14:paraId="1E798B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数字人民币</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升级的核心技术方案被定义为“账户体系+币串+智能合约”。这一组合彻底改变了传统金融中“资金流”与“信息流”异步的现状。</w:t>
      </w:r>
      <w:r>
        <w:rPr>
          <w:rFonts w:hint="eastAsia" w:ascii="宋体" w:hAnsi="宋体" w:eastAsia="宋体" w:cs="宋体"/>
          <w:sz w:val="24"/>
          <w:szCs w:val="24"/>
        </w:rPr>
        <w:t>其中，币串技术实现了对资金的“细粒度”管理，让每一分钱都具备可追溯的标签；而升级后的智能合约生态平台则构建了开源体系，支持开发者针对供应链、预付资金、碳核算等特定场景定制专属的业务逻辑。</w:t>
      </w:r>
    </w:p>
    <w:p w14:paraId="366A24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工业场景中，农业银行通过数字人民币智能合约深度植入泸州老窖的供应链系统。当经销商发起订购请求时，贷款资金在智能合约的约束下实现“专款专用”，系统自动校验数据共享状态，确保资金精准流向预定采购环节。这种穿透式管理不仅降低了违约风险，更展示了</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逻辑如何显著提升传统产业的资金流转效率。</w:t>
      </w:r>
    </w:p>
    <w:p w14:paraId="2CC894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多边央行数字货币桥(</w:t>
      </w:r>
      <w:r>
        <w:rPr>
          <w:rFonts w:hint="eastAsia" w:ascii="Times New Roman" w:hAnsi="Times New Roman" w:eastAsia="宋体" w:cs="宋体"/>
          <w:sz w:val="24"/>
          <w:szCs w:val="24"/>
          <w:lang w:val="en-US" w:eastAsia="zh-CN"/>
        </w:rPr>
        <w:t>mBridge</w:t>
      </w:r>
      <w:r>
        <w:rPr>
          <w:rFonts w:hint="eastAsia" w:ascii="宋体" w:hAnsi="宋体" w:eastAsia="宋体" w:cs="宋体"/>
          <w:sz w:val="24"/>
          <w:szCs w:val="24"/>
          <w:lang w:val="en-US" w:eastAsia="zh-CN"/>
        </w:rPr>
        <w:t>)的全球意义</w:t>
      </w:r>
    </w:p>
    <w:p w14:paraId="04CDBB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在跨境支付领域，中国主导参与的</w:t>
      </w:r>
      <w:r>
        <w:rPr>
          <w:rFonts w:hint="eastAsia" w:ascii="Times New Roman" w:hAnsi="Times New Roman" w:eastAsia="宋体" w:cs="宋体"/>
          <w:sz w:val="24"/>
          <w:szCs w:val="24"/>
          <w:lang w:val="en-US" w:eastAsia="zh-CN"/>
        </w:rPr>
        <w:t>mBridge</w:t>
      </w:r>
      <w:r>
        <w:rPr>
          <w:rFonts w:hint="eastAsia" w:ascii="宋体" w:hAnsi="宋体" w:eastAsia="宋体" w:cs="宋体"/>
          <w:sz w:val="24"/>
          <w:szCs w:val="24"/>
          <w:lang w:val="en-US" w:eastAsia="zh-CN"/>
        </w:rPr>
        <w:t>项目正在重塑国际清算规则。该项目侧重于利用区块链的分布式账本技术（</w:t>
      </w:r>
      <w:r>
        <w:rPr>
          <w:rFonts w:hint="eastAsia" w:ascii="Times New Roman" w:hAnsi="Times New Roman" w:eastAsia="宋体" w:cs="宋体"/>
          <w:sz w:val="24"/>
          <w:szCs w:val="24"/>
          <w:lang w:val="en-US" w:eastAsia="zh-CN"/>
        </w:rPr>
        <w:t>DLT</w:t>
      </w:r>
      <w:r>
        <w:rPr>
          <w:rFonts w:hint="eastAsia" w:ascii="宋体" w:hAnsi="宋体" w:eastAsia="宋体" w:cs="宋体"/>
          <w:sz w:val="24"/>
          <w:szCs w:val="24"/>
          <w:lang w:val="en-US" w:eastAsia="zh-CN"/>
        </w:rPr>
        <w:t>），解决各辖区间业务主权与货币主权的对等问题。</w:t>
      </w:r>
    </w:p>
    <w:p w14:paraId="5E9F11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截至</w:t>
      </w:r>
      <w:r>
        <w:rPr>
          <w:rFonts w:hint="eastAsia" w:ascii="Times New Roman" w:hAnsi="Times New Roman" w:eastAsia="宋体" w:cs="宋体"/>
          <w:sz w:val="24"/>
          <w:szCs w:val="24"/>
          <w:lang w:val="en-US" w:eastAsia="zh-CN"/>
        </w:rPr>
        <w:t>2025</w:t>
      </w:r>
      <w:r>
        <w:rPr>
          <w:rFonts w:hint="eastAsia" w:ascii="宋体" w:hAnsi="宋体" w:eastAsia="宋体" w:cs="宋体"/>
          <w:sz w:val="24"/>
          <w:szCs w:val="24"/>
          <w:lang w:val="en-US" w:eastAsia="zh-CN"/>
        </w:rPr>
        <w:t>年末，</w:t>
      </w:r>
      <w:r>
        <w:rPr>
          <w:rFonts w:hint="eastAsia" w:ascii="Times New Roman" w:hAnsi="Times New Roman" w:eastAsia="宋体" w:cs="宋体"/>
          <w:sz w:val="24"/>
          <w:szCs w:val="24"/>
          <w:lang w:val="en-US" w:eastAsia="zh-CN"/>
        </w:rPr>
        <w:t>mBridge</w:t>
      </w:r>
      <w:r>
        <w:rPr>
          <w:rFonts w:hint="eastAsia" w:ascii="宋体" w:hAnsi="宋体" w:eastAsia="宋体" w:cs="宋体"/>
          <w:sz w:val="24"/>
          <w:szCs w:val="24"/>
          <w:lang w:val="en-US" w:eastAsia="zh-CN"/>
        </w:rPr>
        <w:t>已处理数千亿元人民币的跨境交易，其中数字人民币交易额占比极高。这证明了在</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框架下，主权数字货币可以实现</w:t>
      </w:r>
      <w:r>
        <w:rPr>
          <w:rFonts w:hint="eastAsia" w:ascii="Times New Roman" w:hAnsi="Times New Roman" w:eastAsia="宋体" w:cs="宋体"/>
          <w:sz w:val="24"/>
          <w:szCs w:val="24"/>
          <w:lang w:val="en-US" w:eastAsia="zh-CN"/>
        </w:rPr>
        <w:t>7</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24</w:t>
      </w:r>
      <w:r>
        <w:rPr>
          <w:rFonts w:hint="eastAsia" w:ascii="宋体" w:hAnsi="宋体" w:eastAsia="宋体" w:cs="宋体"/>
          <w:sz w:val="24"/>
          <w:szCs w:val="24"/>
          <w:lang w:val="en-US" w:eastAsia="zh-CN"/>
        </w:rPr>
        <w:t>小时的即时结算，彻底打破了传统</w:t>
      </w:r>
      <w:r>
        <w:rPr>
          <w:rFonts w:hint="eastAsia" w:ascii="Times New Roman" w:hAnsi="Times New Roman" w:eastAsia="宋体" w:cs="宋体"/>
          <w:sz w:val="24"/>
          <w:szCs w:val="24"/>
          <w:lang w:val="en-US" w:eastAsia="zh-CN"/>
        </w:rPr>
        <w:t>Swift</w:t>
      </w:r>
      <w:r>
        <w:rPr>
          <w:rFonts w:hint="eastAsia" w:ascii="宋体" w:hAnsi="宋体" w:eastAsia="宋体" w:cs="宋体"/>
          <w:sz w:val="24"/>
          <w:szCs w:val="24"/>
          <w:lang w:val="en-US" w:eastAsia="zh-CN"/>
        </w:rPr>
        <w:t>体系的高延迟与高成本壁垒。这不仅是技术的输出，更是中国对全球</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治理方案的贡献。</w:t>
      </w:r>
    </w:p>
    <w:p w14:paraId="632DEA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三、国家级联盟链基础设施：去中心化技术的“合规化”重构</w:t>
      </w:r>
    </w:p>
    <w:p w14:paraId="2ABBED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开放许可链（</w:t>
      </w:r>
      <w:r>
        <w:rPr>
          <w:rFonts w:hint="eastAsia" w:ascii="Times New Roman" w:hAnsi="Times New Roman" w:eastAsia="宋体" w:cs="宋体"/>
          <w:sz w:val="24"/>
          <w:szCs w:val="24"/>
          <w:lang w:val="en-US" w:eastAsia="zh-CN"/>
        </w:rPr>
        <w:t>OpenPermissionedChain</w:t>
      </w:r>
      <w:r>
        <w:rPr>
          <w:rFonts w:hint="eastAsia" w:ascii="宋体" w:hAnsi="宋体" w:eastAsia="宋体" w:cs="宋体"/>
          <w:sz w:val="24"/>
          <w:szCs w:val="24"/>
          <w:lang w:val="en-US" w:eastAsia="zh-CN"/>
        </w:rPr>
        <w:t>）：中国特色的折衷方案</w:t>
      </w:r>
    </w:p>
    <w:p w14:paraId="30C2C7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中国</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的底层逻辑拒绝了公有链（</w:t>
      </w:r>
      <w:r>
        <w:rPr>
          <w:rFonts w:hint="eastAsia" w:ascii="Times New Roman" w:hAnsi="Times New Roman" w:eastAsia="宋体" w:cs="宋体"/>
          <w:sz w:val="24"/>
          <w:szCs w:val="24"/>
          <w:lang w:val="en-US" w:eastAsia="zh-CN"/>
        </w:rPr>
        <w:t>PublicBlockchain</w:t>
      </w:r>
      <w:r>
        <w:rPr>
          <w:rFonts w:hint="eastAsia" w:ascii="宋体" w:hAnsi="宋体" w:eastAsia="宋体" w:cs="宋体"/>
          <w:sz w:val="24"/>
          <w:szCs w:val="24"/>
          <w:lang w:val="en-US" w:eastAsia="zh-CN"/>
        </w:rPr>
        <w:t>）的无序性，但也并未局限于传统的私有链。一种名为“开放许可链”（</w:t>
      </w:r>
      <w:r>
        <w:rPr>
          <w:rFonts w:hint="eastAsia" w:ascii="Times New Roman" w:hAnsi="Times New Roman" w:eastAsia="宋体" w:cs="宋体"/>
          <w:sz w:val="24"/>
          <w:szCs w:val="24"/>
          <w:lang w:val="en-US" w:eastAsia="zh-CN"/>
        </w:rPr>
        <w:t>OPC</w:t>
      </w:r>
      <w:r>
        <w:rPr>
          <w:rFonts w:hint="eastAsia" w:ascii="宋体" w:hAnsi="宋体" w:eastAsia="宋体" w:cs="宋体"/>
          <w:sz w:val="24"/>
          <w:szCs w:val="24"/>
          <w:lang w:val="en-US" w:eastAsia="zh-CN"/>
        </w:rPr>
        <w:t>）的体系成为了主流。</w:t>
      </w:r>
    </w:p>
    <w:p w14:paraId="3EA274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这种架构的设计思路是：底层节点由国家部委、大型国企及受信任的金融机构共同维护，确保了共识机制的安全与可控；而应用层则向全社会开放，任何符合合规要求的企业均可部署智能合约。以“星火·链网”和“长安链”为代表的设施，正在构建一个跨行业、跨地域的互联互通网络，旨在解决数据孤岛问题。</w:t>
      </w:r>
    </w:p>
    <w:p w14:paraId="53F8CF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身份认证体系(</w:t>
      </w:r>
      <w:r>
        <w:rPr>
          <w:rFonts w:hint="eastAsia" w:ascii="Times New Roman" w:hAnsi="Times New Roman" w:eastAsia="宋体" w:cs="宋体"/>
          <w:sz w:val="24"/>
          <w:szCs w:val="24"/>
          <w:lang w:val="en-US" w:eastAsia="zh-CN"/>
        </w:rPr>
        <w:t>DID</w:t>
      </w:r>
      <w:r>
        <w:rPr>
          <w:rFonts w:hint="eastAsia" w:ascii="宋体" w:hAnsi="宋体" w:eastAsia="宋体" w:cs="宋体"/>
          <w:sz w:val="24"/>
          <w:szCs w:val="24"/>
          <w:lang w:val="en-US" w:eastAsia="zh-CN"/>
        </w:rPr>
        <w:t>)与实名化监管</w:t>
      </w:r>
    </w:p>
    <w:p w14:paraId="4D706C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的全球争议中，匿名性与监管的冲突是核心矛盾。中国通过研究“第三代互联网数字身份认证体系”给出了答案。</w:t>
      </w:r>
    </w:p>
    <w:p w14:paraId="013F5F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该体系的核心在于</w:t>
      </w:r>
      <w:r>
        <w:rPr>
          <w:rFonts w:hint="eastAsia" w:ascii="Times New Roman" w:hAnsi="Times New Roman" w:eastAsia="宋体" w:cs="宋体"/>
          <w:sz w:val="24"/>
          <w:szCs w:val="24"/>
          <w:lang w:val="en-US" w:eastAsia="zh-CN"/>
        </w:rPr>
        <w:t>DID</w:t>
      </w:r>
      <w:r>
        <w:rPr>
          <w:rFonts w:hint="eastAsia" w:ascii="宋体" w:hAnsi="宋体" w:eastAsia="宋体" w:cs="宋体"/>
          <w:sz w:val="24"/>
          <w:szCs w:val="24"/>
          <w:lang w:val="en-US" w:eastAsia="zh-CN"/>
        </w:rPr>
        <w:t>（分布式身份）技术的本土化应用。用户在链上的行为由一套加密的数字身份标识，但在底层与国家法定的实名认证系统相挂钩。这种设计实现了“前端隐私保护、后端实名监管”，既满足了</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对用户数据主权的要求，又确保了在涉及洗钱、诈骗等非法活动时，执法部门具备精准溯源的能力。</w:t>
      </w:r>
    </w:p>
    <w:p w14:paraId="6F7B84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基础设施的规模化协同：星火、长安与</w:t>
      </w:r>
      <w:r>
        <w:rPr>
          <w:rFonts w:hint="eastAsia" w:ascii="Times New Roman" w:hAnsi="Times New Roman" w:eastAsia="宋体" w:cs="宋体"/>
          <w:sz w:val="24"/>
          <w:szCs w:val="24"/>
          <w:lang w:val="en-US" w:eastAsia="zh-CN"/>
        </w:rPr>
        <w:t>BSN</w:t>
      </w:r>
    </w:p>
    <w:p w14:paraId="6C223C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尽管各平台在早期呈现出一定的碎片化，但</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年的发展趋势是向“标准化”迈进。通过跨链互操作性协议，不同联盟链之间的数据交换变得更加顺畅。</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4"/>
        <w:gridCol w:w="2750"/>
        <w:gridCol w:w="3322"/>
      </w:tblGrid>
      <w:tr w14:paraId="14236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919191" w:sz="2" w:space="0"/>
            </w:tcBorders>
            <w:shd w:val="clear" w:color="auto" w:fill="auto"/>
            <w:vAlign w:val="top"/>
          </w:tcPr>
          <w:p w14:paraId="7CBE688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基础设施名称</w:t>
            </w:r>
          </w:p>
        </w:tc>
        <w:tc>
          <w:tcPr>
            <w:tcW w:w="2750" w:type="dxa"/>
            <w:tcBorders>
              <w:bottom w:val="single" w:color="919191" w:sz="2" w:space="0"/>
            </w:tcBorders>
            <w:shd w:val="clear" w:color="auto" w:fill="auto"/>
            <w:vAlign w:val="top"/>
          </w:tcPr>
          <w:p w14:paraId="3D124A5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核心定位</w:t>
            </w:r>
          </w:p>
        </w:tc>
        <w:tc>
          <w:tcPr>
            <w:tcW w:w="3322" w:type="dxa"/>
            <w:tcBorders>
              <w:bottom w:val="single" w:color="919191" w:sz="2" w:space="0"/>
            </w:tcBorders>
            <w:shd w:val="clear" w:color="auto" w:fill="auto"/>
            <w:vAlign w:val="top"/>
          </w:tcPr>
          <w:p w14:paraId="41DF3E4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年关键特征</w:t>
            </w:r>
          </w:p>
        </w:tc>
      </w:tr>
      <w:tr w14:paraId="62EB1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DE1EB" w:sz="2" w:space="0"/>
            </w:tcBorders>
            <w:shd w:val="clear" w:color="auto" w:fill="auto"/>
            <w:vAlign w:val="top"/>
          </w:tcPr>
          <w:p w14:paraId="677B3B0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星火·链网</w:t>
            </w:r>
          </w:p>
        </w:tc>
        <w:tc>
          <w:tcPr>
            <w:tcW w:w="2750" w:type="dxa"/>
            <w:tcBorders>
              <w:bottom w:val="single" w:color="DDE1EB" w:sz="2" w:space="0"/>
            </w:tcBorders>
            <w:shd w:val="clear" w:color="auto" w:fill="auto"/>
            <w:vAlign w:val="top"/>
          </w:tcPr>
          <w:p w14:paraId="3295246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工业互联网底层标识与存证</w:t>
            </w:r>
          </w:p>
        </w:tc>
        <w:tc>
          <w:tcPr>
            <w:tcW w:w="3322" w:type="dxa"/>
            <w:tcBorders>
              <w:bottom w:val="single" w:color="DDE1EB" w:sz="2" w:space="0"/>
            </w:tcBorders>
            <w:shd w:val="clear" w:color="auto" w:fill="auto"/>
            <w:vAlign w:val="top"/>
          </w:tcPr>
          <w:p w14:paraId="0930A5B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全球节点布局，支撑跨境贸易数字化</w:t>
            </w:r>
          </w:p>
        </w:tc>
      </w:tr>
      <w:tr w14:paraId="45D1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DE1EB" w:sz="2" w:space="0"/>
            </w:tcBorders>
            <w:shd w:val="clear" w:color="auto" w:fill="auto"/>
            <w:vAlign w:val="top"/>
          </w:tcPr>
          <w:p w14:paraId="02A9B02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长安链(</w:t>
            </w:r>
            <w:r>
              <w:rPr>
                <w:rFonts w:hint="eastAsia" w:ascii="Times New Roman" w:hAnsi="Times New Roman" w:eastAsia="宋体" w:cs="宋体"/>
                <w:sz w:val="24"/>
                <w:szCs w:val="24"/>
                <w:lang w:val="en-US" w:eastAsia="zh-CN"/>
              </w:rPr>
              <w:t>ChainMaker</w:t>
            </w:r>
            <w:r>
              <w:rPr>
                <w:rFonts w:hint="eastAsia" w:ascii="宋体" w:hAnsi="宋体" w:eastAsia="宋体" w:cs="宋体"/>
                <w:sz w:val="24"/>
                <w:szCs w:val="24"/>
                <w:lang w:val="en-US" w:eastAsia="zh-CN"/>
              </w:rPr>
              <w:t>)</w:t>
            </w:r>
          </w:p>
        </w:tc>
        <w:tc>
          <w:tcPr>
            <w:tcW w:w="2750" w:type="dxa"/>
            <w:tcBorders>
              <w:bottom w:val="single" w:color="DDE1EB" w:sz="2" w:space="0"/>
            </w:tcBorders>
            <w:shd w:val="clear" w:color="auto" w:fill="auto"/>
            <w:vAlign w:val="top"/>
          </w:tcPr>
          <w:p w14:paraId="5835128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自主可控、高性能底层架构</w:t>
            </w:r>
          </w:p>
        </w:tc>
        <w:tc>
          <w:tcPr>
            <w:tcW w:w="3322" w:type="dxa"/>
            <w:tcBorders>
              <w:bottom w:val="single" w:color="DDE1EB" w:sz="2" w:space="0"/>
            </w:tcBorders>
            <w:shd w:val="clear" w:color="auto" w:fill="auto"/>
            <w:vAlign w:val="top"/>
          </w:tcPr>
          <w:p w14:paraId="28DB0F3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针对政务、金融场景的模块化国密定制</w:t>
            </w:r>
          </w:p>
        </w:tc>
      </w:tr>
      <w:tr w14:paraId="3BE1C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DE1EB" w:sz="2" w:space="0"/>
            </w:tcBorders>
            <w:shd w:val="clear" w:color="auto" w:fill="auto"/>
            <w:vAlign w:val="top"/>
          </w:tcPr>
          <w:p w14:paraId="71753B9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BSN</w:t>
            </w:r>
            <w:r>
              <w:rPr>
                <w:rFonts w:hint="eastAsia" w:ascii="宋体" w:hAnsi="宋体" w:eastAsia="宋体" w:cs="宋体"/>
                <w:sz w:val="24"/>
                <w:szCs w:val="24"/>
                <w:lang w:val="en-US" w:eastAsia="zh-CN"/>
              </w:rPr>
              <w:t>(区块链服务网络)</w:t>
            </w:r>
          </w:p>
        </w:tc>
        <w:tc>
          <w:tcPr>
            <w:tcW w:w="2750" w:type="dxa"/>
            <w:tcBorders>
              <w:bottom w:val="single" w:color="DDE1EB" w:sz="2" w:space="0"/>
            </w:tcBorders>
            <w:shd w:val="clear" w:color="auto" w:fill="auto"/>
            <w:vAlign w:val="top"/>
          </w:tcPr>
          <w:p w14:paraId="464189E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全球性区块链基础设施枢纽</w:t>
            </w:r>
          </w:p>
        </w:tc>
        <w:tc>
          <w:tcPr>
            <w:tcW w:w="3322" w:type="dxa"/>
            <w:tcBorders>
              <w:bottom w:val="single" w:color="DDE1EB" w:sz="2" w:space="0"/>
            </w:tcBorders>
            <w:shd w:val="clear" w:color="auto" w:fill="auto"/>
            <w:vAlign w:val="top"/>
          </w:tcPr>
          <w:p w14:paraId="1B11C59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整合公、私、许可链的低成本云服务平台</w:t>
            </w:r>
          </w:p>
        </w:tc>
      </w:tr>
      <w:tr w14:paraId="1C7D9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DE1EB" w:sz="2" w:space="0"/>
            </w:tcBorders>
            <w:shd w:val="clear" w:color="auto" w:fill="auto"/>
            <w:vAlign w:val="top"/>
          </w:tcPr>
          <w:p w14:paraId="043C3DA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上海</w:t>
            </w:r>
            <w:r>
              <w:rPr>
                <w:rFonts w:hint="eastAsia" w:ascii="Times New Roman" w:hAnsi="Times New Roman" w:eastAsia="宋体" w:cs="宋体"/>
                <w:sz w:val="24"/>
                <w:szCs w:val="24"/>
                <w:lang w:val="en-US" w:eastAsia="zh-CN"/>
              </w:rPr>
              <w:t>OpenPermChain</w:t>
            </w:r>
          </w:p>
        </w:tc>
        <w:tc>
          <w:tcPr>
            <w:tcW w:w="2750" w:type="dxa"/>
            <w:tcBorders>
              <w:bottom w:val="single" w:color="DDE1EB" w:sz="2" w:space="0"/>
            </w:tcBorders>
            <w:shd w:val="clear" w:color="auto" w:fill="auto"/>
            <w:vAlign w:val="top"/>
          </w:tcPr>
          <w:p w14:paraId="75CF949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城市级数字化转型底座</w:t>
            </w:r>
          </w:p>
        </w:tc>
        <w:tc>
          <w:tcPr>
            <w:tcW w:w="3322" w:type="dxa"/>
            <w:tcBorders>
              <w:bottom w:val="single" w:color="DDE1EB" w:sz="2" w:space="0"/>
            </w:tcBorders>
            <w:shd w:val="clear" w:color="auto" w:fill="auto"/>
            <w:vAlign w:val="top"/>
          </w:tcPr>
          <w:p w14:paraId="2F84354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深度融合数字人民币与资产</w:t>
            </w:r>
            <w:r>
              <w:rPr>
                <w:rFonts w:hint="eastAsia" w:ascii="Times New Roman" w:hAnsi="Times New Roman" w:eastAsia="宋体" w:cs="宋体"/>
                <w:sz w:val="24"/>
                <w:szCs w:val="24"/>
                <w:lang w:val="en-US" w:eastAsia="zh-CN"/>
              </w:rPr>
              <w:t>Token</w:t>
            </w:r>
            <w:r>
              <w:rPr>
                <w:rFonts w:hint="eastAsia" w:ascii="宋体" w:hAnsi="宋体" w:eastAsia="宋体" w:cs="宋体"/>
                <w:sz w:val="24"/>
                <w:szCs w:val="24"/>
                <w:lang w:val="en-US" w:eastAsia="zh-CN"/>
              </w:rPr>
              <w:t>化试点</w:t>
            </w:r>
          </w:p>
        </w:tc>
      </w:tr>
    </w:tbl>
    <w:p w14:paraId="65B728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四、数据要素市场：</w:t>
      </w:r>
      <w:r>
        <w:rPr>
          <w:rFonts w:hint="eastAsia" w:ascii="Times New Roman" w:hAnsi="Times New Roman" w:eastAsia="宋体" w:cs="宋体"/>
          <w:b/>
          <w:bCs/>
          <w:sz w:val="24"/>
          <w:szCs w:val="24"/>
          <w:lang w:val="en-US" w:eastAsia="zh-CN"/>
        </w:rPr>
        <w:t>Web3</w:t>
      </w:r>
      <w:r>
        <w:rPr>
          <w:rFonts w:hint="eastAsia" w:ascii="宋体" w:hAnsi="宋体" w:eastAsia="宋体" w:cs="宋体"/>
          <w:b/>
          <w:bCs/>
          <w:sz w:val="24"/>
          <w:szCs w:val="24"/>
          <w:lang w:val="en-US" w:eastAsia="zh-CN"/>
        </w:rPr>
        <w:t>.</w:t>
      </w:r>
      <w:r>
        <w:rPr>
          <w:rFonts w:hint="eastAsia" w:ascii="Times New Roman" w:hAnsi="Times New Roman" w:eastAsia="宋体" w:cs="宋体"/>
          <w:b/>
          <w:bCs/>
          <w:sz w:val="24"/>
          <w:szCs w:val="24"/>
          <w:lang w:val="en-US" w:eastAsia="zh-CN"/>
        </w:rPr>
        <w:t>0</w:t>
      </w:r>
      <w:r>
        <w:rPr>
          <w:rFonts w:hint="eastAsia" w:ascii="宋体" w:hAnsi="宋体" w:eastAsia="宋体" w:cs="宋体"/>
          <w:b/>
          <w:bCs/>
          <w:sz w:val="24"/>
          <w:szCs w:val="24"/>
          <w:lang w:val="en-US" w:eastAsia="zh-CN"/>
        </w:rPr>
        <w:t>赋能实体经济的“核爆点”</w:t>
      </w:r>
    </w:p>
    <w:p w14:paraId="3F0189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1 2026</w:t>
      </w:r>
      <w:r>
        <w:rPr>
          <w:rFonts w:hint="eastAsia" w:ascii="宋体" w:hAnsi="宋体" w:eastAsia="宋体" w:cs="宋体"/>
          <w:sz w:val="24"/>
          <w:szCs w:val="24"/>
          <w:lang w:val="en-US" w:eastAsia="zh-CN"/>
        </w:rPr>
        <w:t>年：从“资源”到“资产”的惊险跳跃</w:t>
      </w:r>
    </w:p>
    <w:p w14:paraId="10C895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中国政策层明确指出，数据只有在“可被可靠接入、精准计量、合规使用、出事可追责”的情况下，才能转化为真实生产力。</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年被确立为“数据要素价值释放年”，核心任务是将区块链这套“电网—电表—保险丝”体系在全行业装齐、装牢。</w:t>
      </w:r>
    </w:p>
    <w:p w14:paraId="0D30C9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“电网—电表—保险丝”模型深度解析</w:t>
      </w:r>
    </w:p>
    <w:p w14:paraId="32DEF0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在这一隐喻中，区块链技术承担了数据流通的全链路治理职责：</w:t>
      </w:r>
      <w:r>
        <w:rPr>
          <w:rFonts w:hint="eastAsia" w:ascii="宋体" w:hAnsi="宋体" w:eastAsia="宋体" w:cs="宋体"/>
          <w:sz w:val="24"/>
          <w:szCs w:val="24"/>
        </w:rPr>
        <w:t>“电网”</w:t>
      </w:r>
      <w:r>
        <w:rPr>
          <w:rFonts w:hint="eastAsia" w:ascii="宋体" w:hAnsi="宋体" w:eastAsia="宋体" w:cs="宋体"/>
          <w:sz w:val="24"/>
          <w:szCs w:val="24"/>
          <w:lang w:val="en-US" w:eastAsia="zh-CN"/>
        </w:rPr>
        <w:t>负责</w:t>
      </w:r>
      <w:r>
        <w:rPr>
          <w:rFonts w:hint="eastAsia" w:ascii="宋体" w:hAnsi="宋体" w:eastAsia="宋体" w:cs="宋体"/>
          <w:sz w:val="24"/>
          <w:szCs w:val="24"/>
        </w:rPr>
        <w:t>可靠接入</w:t>
      </w:r>
      <w:r>
        <w:rPr>
          <w:rFonts w:hint="eastAsia" w:ascii="宋体" w:hAnsi="宋体" w:eastAsia="宋体" w:cs="宋体"/>
          <w:sz w:val="24"/>
          <w:szCs w:val="24"/>
          <w:lang w:eastAsia="zh-CN"/>
        </w:rPr>
        <w:t>，</w:t>
      </w:r>
      <w:r>
        <w:rPr>
          <w:rFonts w:hint="eastAsia" w:ascii="宋体" w:hAnsi="宋体" w:eastAsia="宋体" w:cs="宋体"/>
          <w:sz w:val="24"/>
          <w:szCs w:val="24"/>
        </w:rPr>
        <w:t>建立统一的标准目录、身份认证与审计机制，打通跨部门、跨区域的数据流转“最后一公里”</w:t>
      </w:r>
      <w:r>
        <w:rPr>
          <w:rFonts w:hint="eastAsia" w:ascii="宋体" w:hAnsi="宋体" w:eastAsia="宋体" w:cs="宋体"/>
          <w:sz w:val="24"/>
          <w:szCs w:val="24"/>
          <w:lang w:eastAsia="zh-CN"/>
        </w:rPr>
        <w:t>；</w:t>
      </w:r>
      <w:r>
        <w:rPr>
          <w:rFonts w:hint="eastAsia" w:ascii="宋体" w:hAnsi="宋体" w:eastAsia="宋体" w:cs="宋体"/>
          <w:sz w:val="24"/>
          <w:szCs w:val="24"/>
        </w:rPr>
        <w:t>“电表”（精准计量）</w:t>
      </w:r>
      <w:r>
        <w:rPr>
          <w:rFonts w:hint="eastAsia" w:ascii="宋体" w:hAnsi="宋体" w:eastAsia="宋体" w:cs="宋体"/>
          <w:sz w:val="24"/>
          <w:szCs w:val="24"/>
          <w:lang w:val="en-US" w:eastAsia="zh-CN"/>
        </w:rPr>
        <w:t>统筹</w:t>
      </w:r>
      <w:r>
        <w:rPr>
          <w:rFonts w:hint="eastAsia" w:ascii="宋体" w:hAnsi="宋体" w:eastAsia="宋体" w:cs="宋体"/>
          <w:sz w:val="24"/>
          <w:szCs w:val="24"/>
        </w:rPr>
        <w:t>解决数据定价难题</w:t>
      </w:r>
      <w:r>
        <w:rPr>
          <w:rFonts w:hint="eastAsia" w:ascii="宋体" w:hAnsi="宋体" w:eastAsia="宋体" w:cs="宋体"/>
          <w:sz w:val="24"/>
          <w:szCs w:val="24"/>
          <w:lang w:eastAsia="zh-CN"/>
        </w:rPr>
        <w:t>，</w:t>
      </w:r>
      <w:r>
        <w:rPr>
          <w:rFonts w:hint="eastAsia" w:ascii="宋体" w:hAnsi="宋体" w:eastAsia="宋体" w:cs="宋体"/>
          <w:sz w:val="24"/>
          <w:szCs w:val="24"/>
        </w:rPr>
        <w:t>通过可信流通设施（如可信数据空间），精准计算数据在特定决策或模型中的边际贡献，为收益分配提供依据</w:t>
      </w:r>
      <w:r>
        <w:rPr>
          <w:rFonts w:hint="eastAsia" w:ascii="宋体" w:hAnsi="宋体" w:eastAsia="宋体" w:cs="宋体"/>
          <w:sz w:val="24"/>
          <w:szCs w:val="24"/>
          <w:lang w:eastAsia="zh-CN"/>
        </w:rPr>
        <w:t>；</w:t>
      </w:r>
      <w:r>
        <w:rPr>
          <w:rFonts w:hint="eastAsia" w:ascii="宋体" w:hAnsi="宋体" w:eastAsia="宋体" w:cs="宋体"/>
          <w:sz w:val="24"/>
          <w:szCs w:val="24"/>
        </w:rPr>
        <w:t>“保险丝”（安全追责确立“可用不可见、可控可追责”的信任机制。通过全链路审计记录，确保数据在超出授权范围使用时能够自动熔断并保留法律证据。</w:t>
      </w:r>
    </w:p>
    <w:p w14:paraId="26DABA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4</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价值兑现路径：四位一体的闭环</w:t>
      </w:r>
    </w:p>
    <w:p w14:paraId="7EDBFC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vertAlign w:val="baseline"/>
        </w:rPr>
      </w:pP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年的数据要素市场围绕“供得出、流得动、用得好、保安全”四个维度展开。</w:t>
      </w:r>
    </w:p>
    <w:tbl>
      <w:tblPr>
        <w:tblStyle w:val="15"/>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left w:w="108" w:type="dxa"/>
          <w:right w:w="108" w:type="dxa"/>
        </w:tblCellMar>
      </w:tblPr>
      <w:tblGrid>
        <w:gridCol w:w="1392"/>
        <w:gridCol w:w="7130"/>
      </w:tblGrid>
      <w:tr w14:paraId="3CB1BB2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left w:w="108" w:type="dxa"/>
            <w:right w:w="108" w:type="dxa"/>
          </w:tblCellMar>
        </w:tblPrEx>
        <w:tc>
          <w:tcPr>
            <w:tcW w:w="1392" w:type="dxa"/>
            <w:tcBorders>
              <w:bottom w:val="single" w:color="7E7E7E" w:themeColor="background1" w:themeShade="7F" w:sz="4" w:space="0"/>
            </w:tcBorders>
            <w:vAlign w:val="center"/>
          </w:tcPr>
          <w:p w14:paraId="369A2BB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供给侧</w:t>
            </w:r>
          </w:p>
        </w:tc>
        <w:tc>
          <w:tcPr>
            <w:tcW w:w="7130" w:type="dxa"/>
            <w:tcBorders>
              <w:bottom w:val="single" w:color="7E7E7E" w:themeColor="background1" w:themeShade="7F" w:sz="4" w:space="0"/>
            </w:tcBorders>
          </w:tcPr>
          <w:p w14:paraId="05841E3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4"/>
                <w:szCs w:val="24"/>
                <w:vertAlign w:val="baseline"/>
              </w:rPr>
            </w:pPr>
            <w:r>
              <w:rPr>
                <w:rFonts w:hint="eastAsia" w:ascii="宋体" w:hAnsi="宋体" w:eastAsia="宋体" w:cs="宋体"/>
                <w:sz w:val="24"/>
                <w:szCs w:val="24"/>
                <w:vertAlign w:val="baseline"/>
              </w:rPr>
              <w:t>统筹推进公共数据开放与企业数据标签化。通过区块链存证，将沉睡的原始数据转化为标准化的“数据零件”。</w:t>
            </w:r>
          </w:p>
        </w:tc>
      </w:tr>
      <w:tr w14:paraId="12856B7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left w:w="108" w:type="dxa"/>
            <w:right w:w="108" w:type="dxa"/>
          </w:tblCellMar>
        </w:tblPrEx>
        <w:tc>
          <w:tcPr>
            <w:tcW w:w="1392" w:type="dxa"/>
            <w:tcBorders>
              <w:top w:val="single" w:color="7E7E7E" w:themeColor="background1" w:themeShade="7F" w:sz="4" w:space="0"/>
              <w:bottom w:val="single" w:color="7E7E7E" w:themeColor="background1" w:themeShade="7F" w:sz="4" w:space="0"/>
            </w:tcBorders>
            <w:vAlign w:val="center"/>
          </w:tcPr>
          <w:p w14:paraId="3B8933D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流通侧</w:t>
            </w:r>
          </w:p>
        </w:tc>
        <w:tc>
          <w:tcPr>
            <w:tcW w:w="7130" w:type="dxa"/>
            <w:tcBorders>
              <w:top w:val="single" w:color="7E7E7E" w:themeColor="background1" w:themeShade="7F" w:sz="4" w:space="0"/>
              <w:bottom w:val="single" w:color="7E7E7E" w:themeColor="background1" w:themeShade="7F" w:sz="4" w:space="0"/>
            </w:tcBorders>
          </w:tcPr>
          <w:p w14:paraId="7F9FB31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4"/>
                <w:szCs w:val="24"/>
                <w:vertAlign w:val="baseline"/>
              </w:rPr>
            </w:pPr>
            <w:r>
              <w:rPr>
                <w:rFonts w:hint="eastAsia" w:ascii="宋体" w:hAnsi="宋体" w:eastAsia="宋体" w:cs="宋体"/>
                <w:sz w:val="24"/>
                <w:szCs w:val="24"/>
                <w:vertAlign w:val="baseline"/>
              </w:rPr>
              <w:t>核心在于权利、责任、收益与风险的可配置。推动建立制度化的共享机制，利用智能合约自动执行分成协议。</w:t>
            </w:r>
          </w:p>
        </w:tc>
      </w:tr>
      <w:tr w14:paraId="17D4A74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left w:w="108" w:type="dxa"/>
            <w:right w:w="108" w:type="dxa"/>
          </w:tblCellMar>
        </w:tblPrEx>
        <w:tc>
          <w:tcPr>
            <w:tcW w:w="1392" w:type="dxa"/>
            <w:tcBorders>
              <w:top w:val="single" w:color="7E7E7E" w:themeColor="background1" w:themeShade="7F" w:sz="4" w:space="0"/>
              <w:bottom w:val="single" w:color="7E7E7E" w:themeColor="background1" w:themeShade="7F" w:sz="4" w:space="0"/>
            </w:tcBorders>
            <w:vAlign w:val="center"/>
          </w:tcPr>
          <w:p w14:paraId="5015EF0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应用侧</w:t>
            </w:r>
          </w:p>
        </w:tc>
        <w:tc>
          <w:tcPr>
            <w:tcW w:w="7130" w:type="dxa"/>
            <w:tcBorders>
              <w:top w:val="single" w:color="7E7E7E" w:themeColor="background1" w:themeShade="7F" w:sz="4" w:space="0"/>
              <w:bottom w:val="single" w:color="7E7E7E" w:themeColor="background1" w:themeShade="7F" w:sz="4" w:space="0"/>
            </w:tcBorders>
          </w:tcPr>
          <w:p w14:paraId="447C68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4"/>
                <w:szCs w:val="24"/>
                <w:vertAlign w:val="baseline"/>
              </w:rPr>
            </w:pPr>
            <w:r>
              <w:rPr>
                <w:rFonts w:hint="eastAsia" w:ascii="宋体" w:hAnsi="宋体" w:eastAsia="宋体" w:cs="宋体"/>
                <w:sz w:val="24"/>
                <w:szCs w:val="24"/>
                <w:vertAlign w:val="baseline"/>
              </w:rPr>
              <w:t>强调应用价值的可核算化。不再进行模糊的补贴，而是要求通过Web3.0技术精准量化节约的成本或提升的效率。</w:t>
            </w:r>
          </w:p>
        </w:tc>
      </w:tr>
      <w:tr w14:paraId="5DD1C53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left w:w="108" w:type="dxa"/>
            <w:right w:w="108" w:type="dxa"/>
          </w:tblCellMar>
        </w:tblPrEx>
        <w:tc>
          <w:tcPr>
            <w:tcW w:w="1392" w:type="dxa"/>
            <w:tcBorders>
              <w:top w:val="single" w:color="7E7E7E" w:themeColor="background1" w:themeShade="7F" w:sz="4" w:space="0"/>
            </w:tcBorders>
            <w:vAlign w:val="center"/>
          </w:tcPr>
          <w:p w14:paraId="5EECEF0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安全侧</w:t>
            </w:r>
          </w:p>
        </w:tc>
        <w:tc>
          <w:tcPr>
            <w:tcW w:w="7130" w:type="dxa"/>
            <w:tcBorders>
              <w:top w:val="single" w:color="7E7E7E" w:themeColor="background1" w:themeShade="7F" w:sz="4" w:space="0"/>
            </w:tcBorders>
          </w:tcPr>
          <w:p w14:paraId="1C3EFB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4"/>
                <w:szCs w:val="24"/>
                <w:vertAlign w:val="baseline"/>
              </w:rPr>
            </w:pPr>
            <w:r>
              <w:rPr>
                <w:rFonts w:hint="eastAsia" w:ascii="宋体" w:hAnsi="宋体" w:eastAsia="宋体" w:cs="宋体"/>
                <w:sz w:val="24"/>
                <w:szCs w:val="24"/>
                <w:vertAlign w:val="baseline"/>
              </w:rPr>
              <w:t>从“被动合规”升级为“发展型治理”，将合规成本转化为交易信任，从而降低数据市场的摩擦。</w:t>
            </w:r>
          </w:p>
        </w:tc>
      </w:tr>
    </w:tbl>
    <w:p w14:paraId="3E1B75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五、数字藏品与数实融合：消费端</w:t>
      </w:r>
      <w:r>
        <w:rPr>
          <w:rFonts w:hint="eastAsia" w:ascii="Times New Roman" w:hAnsi="Times New Roman" w:eastAsia="宋体" w:cs="宋体"/>
          <w:b/>
          <w:bCs/>
          <w:sz w:val="24"/>
          <w:szCs w:val="24"/>
          <w:lang w:val="en-US" w:eastAsia="zh-CN"/>
        </w:rPr>
        <w:t>Web3</w:t>
      </w:r>
      <w:r>
        <w:rPr>
          <w:rFonts w:hint="eastAsia" w:ascii="宋体" w:hAnsi="宋体" w:eastAsia="宋体" w:cs="宋体"/>
          <w:b/>
          <w:bCs/>
          <w:sz w:val="24"/>
          <w:szCs w:val="24"/>
          <w:lang w:val="en-US" w:eastAsia="zh-CN"/>
        </w:rPr>
        <w:t>.</w:t>
      </w:r>
      <w:r>
        <w:rPr>
          <w:rFonts w:hint="eastAsia" w:ascii="Times New Roman" w:hAnsi="Times New Roman" w:eastAsia="宋体" w:cs="宋体"/>
          <w:b/>
          <w:bCs/>
          <w:sz w:val="24"/>
          <w:szCs w:val="24"/>
          <w:lang w:val="en-US" w:eastAsia="zh-CN"/>
        </w:rPr>
        <w:t>0</w:t>
      </w:r>
      <w:r>
        <w:rPr>
          <w:rFonts w:hint="eastAsia" w:ascii="宋体" w:hAnsi="宋体" w:eastAsia="宋体" w:cs="宋体"/>
          <w:b/>
          <w:bCs/>
          <w:sz w:val="24"/>
          <w:szCs w:val="24"/>
          <w:lang w:val="en-US" w:eastAsia="zh-CN"/>
        </w:rPr>
        <w:t>的合规重塑</w:t>
      </w:r>
    </w:p>
    <w:p w14:paraId="343236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剥离投机后的内容经济学</w:t>
      </w:r>
    </w:p>
    <w:p w14:paraId="52EC1A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在中国境内，原本在西方被称为</w:t>
      </w:r>
      <w:r>
        <w:rPr>
          <w:rFonts w:hint="eastAsia" w:ascii="Times New Roman" w:hAnsi="Times New Roman" w:eastAsia="宋体" w:cs="宋体"/>
          <w:sz w:val="24"/>
          <w:szCs w:val="24"/>
          <w:lang w:val="en-US" w:eastAsia="zh-CN"/>
        </w:rPr>
        <w:t>NFT</w:t>
      </w:r>
      <w:r>
        <w:rPr>
          <w:rFonts w:hint="eastAsia" w:ascii="宋体" w:hAnsi="宋体" w:eastAsia="宋体" w:cs="宋体"/>
          <w:sz w:val="24"/>
          <w:szCs w:val="24"/>
          <w:lang w:val="en-US" w:eastAsia="zh-CN"/>
        </w:rPr>
        <w:t>的技术形态，被严格界定为“数字藏品”。这一赛道在</w:t>
      </w:r>
      <w:r>
        <w:rPr>
          <w:rFonts w:hint="eastAsia" w:ascii="Times New Roman" w:hAnsi="Times New Roman" w:eastAsia="宋体" w:cs="宋体"/>
          <w:sz w:val="24"/>
          <w:szCs w:val="24"/>
          <w:lang w:val="en-US" w:eastAsia="zh-CN"/>
        </w:rPr>
        <w:t>2025</w:t>
      </w:r>
      <w:r>
        <w:rPr>
          <w:rFonts w:hint="eastAsia" w:ascii="宋体" w:hAnsi="宋体" w:eastAsia="宋体" w:cs="宋体"/>
          <w:sz w:val="24"/>
          <w:szCs w:val="24"/>
          <w:lang w:val="en-US" w:eastAsia="zh-CN"/>
        </w:rPr>
        <w:t>年至</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年经历了从“泡沫破碎”到“价值回归”的过程。其核心价值已不再是图片本身的买卖，而是通过区块链赋予数字内容唯一性，从而重建创作者与消费者之间的直接连接。</w:t>
      </w:r>
    </w:p>
    <w:p w14:paraId="1EB059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这种“价值归属感”驱动了内容分发模式的变革。例如，音乐人可以通过发行数字藏品形式的专辑，利用智能合约预设版权分成，避开传统流媒体平台的层层抽成，实现收益的最大化。</w:t>
      </w:r>
    </w:p>
    <w:p w14:paraId="1F005E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宋体"/>
          <w:sz w:val="24"/>
          <w:szCs w:val="24"/>
          <w:lang w:val="en-US" w:eastAsia="zh-CN"/>
        </w:rPr>
        <w:t>5</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“数实融合”的典型商业模式</w:t>
      </w:r>
    </w:p>
    <w:p w14:paraId="55A4B6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2026年的数字藏品市场呈现出明显的“脱虚向实”特征：文旅景区通过发行绑定终身进入权或专属导览服务的限量版数字门票，实现了数字化艺术品与线下权益的深度结合；在品牌社交营销（SocialFi）模式下，品牌方将数字资产作为会员凭证，使用户能通过参与品牌建设与互动获得可兑换实物或服务的代币化奖励；同时，消费品牌通过供应链透明化将产品的生产历史与原产地证明记录在链上，供消费者查阅不可篡改的“产品传记”以提升品牌溢价。</w:t>
      </w:r>
    </w:p>
    <w:p w14:paraId="50DD70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这种模式的成功在于它利用了区块链的稀缺性与可验证性，为实体商品增添了数字维度的资产属性，而非创造一个脱离实体的数字幻境。</w:t>
      </w:r>
    </w:p>
    <w:p w14:paraId="07376A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六、法律合规红线：严苛监管下的生存指南</w:t>
      </w:r>
    </w:p>
    <w:p w14:paraId="70CEEF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虚拟货币的刑事禁区</w:t>
      </w:r>
    </w:p>
    <w:p w14:paraId="798564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尽管中国支持</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技术应用，但对涉及虚拟货币的金融活动始终保持“零容忍”态度。根据最新的司法趋势，任何试图在境内复刻西方</w:t>
      </w:r>
      <w:r>
        <w:rPr>
          <w:rFonts w:hint="eastAsia" w:ascii="Times New Roman" w:hAnsi="Times New Roman" w:eastAsia="宋体" w:cs="宋体"/>
          <w:sz w:val="24"/>
          <w:szCs w:val="24"/>
          <w:lang w:val="en-US" w:eastAsia="zh-CN"/>
        </w:rPr>
        <w:t>DeFi</w:t>
      </w:r>
      <w:r>
        <w:rPr>
          <w:rFonts w:hint="eastAsia" w:ascii="宋体" w:hAnsi="宋体" w:eastAsia="宋体" w:cs="宋体"/>
          <w:sz w:val="24"/>
          <w:szCs w:val="24"/>
          <w:lang w:val="en-US" w:eastAsia="zh-CN"/>
        </w:rPr>
        <w:t>或代币炒作的行为，均面临巨大的刑事风险。</w:t>
      </w:r>
    </w:p>
    <w:p w14:paraId="6E6141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特别是</w:t>
      </w:r>
      <w:r>
        <w:rPr>
          <w:rFonts w:hint="eastAsia" w:ascii="Times New Roman" w:hAnsi="Times New Roman" w:eastAsia="宋体" w:cs="宋体"/>
          <w:sz w:val="24"/>
          <w:szCs w:val="24"/>
          <w:lang w:val="en-US" w:eastAsia="zh-CN"/>
        </w:rPr>
        <w:t>2021</w:t>
      </w:r>
      <w:r>
        <w:rPr>
          <w:rFonts w:hint="eastAsia" w:ascii="宋体" w:hAnsi="宋体" w:eastAsia="宋体" w:cs="宋体"/>
          <w:sz w:val="24"/>
          <w:szCs w:val="24"/>
          <w:lang w:val="en-US" w:eastAsia="zh-CN"/>
        </w:rPr>
        <w:t>年“</w:t>
      </w:r>
      <w:r>
        <w:rPr>
          <w:rFonts w:hint="eastAsia" w:ascii="Times New Roman" w:hAnsi="Times New Roman" w:eastAsia="宋体" w:cs="宋体"/>
          <w:sz w:val="24"/>
          <w:szCs w:val="24"/>
          <w:lang w:val="en-US" w:eastAsia="zh-CN"/>
        </w:rPr>
        <w:t>924</w:t>
      </w:r>
      <w:r>
        <w:rPr>
          <w:rFonts w:hint="eastAsia" w:ascii="宋体" w:hAnsi="宋体" w:eastAsia="宋体" w:cs="宋体"/>
          <w:sz w:val="24"/>
          <w:szCs w:val="24"/>
          <w:lang w:val="en-US" w:eastAsia="zh-CN"/>
        </w:rPr>
        <w:t>文件”的精神在</w:t>
      </w:r>
      <w:r>
        <w:rPr>
          <w:rFonts w:hint="eastAsia" w:ascii="Times New Roman" w:hAnsi="Times New Roman" w:eastAsia="宋体" w:cs="宋体"/>
          <w:sz w:val="24"/>
          <w:szCs w:val="24"/>
          <w:lang w:val="en-US" w:eastAsia="zh-CN"/>
        </w:rPr>
        <w:t>2025</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的司法解释中得到了进一步细化。利用虚拟货币进行洗钱、非法集资、跨境转移资产被列为打击重点。法院高度关注利用大额黄金、二手奢侈品买卖进行虚拟货币赃款转换的“跑分”行为，此类行为极易被认定为“掩饰、隐瞒犯罪所得罪”。</w:t>
      </w:r>
    </w:p>
    <w:p w14:paraId="4CF6A8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22025</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典型案例分析与合规红线</w:t>
      </w:r>
    </w:p>
    <w:p w14:paraId="0E20ED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根据最高人民法院发布的最新判例，</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从业者必须关注以下三个红线：</w:t>
      </w:r>
    </w:p>
    <w:p w14:paraId="0F436B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一是</w:t>
      </w:r>
      <w:r>
        <w:rPr>
          <w:rFonts w:hint="eastAsia" w:ascii="Times New Roman" w:hAnsi="Times New Roman" w:eastAsia="宋体" w:cs="宋体"/>
          <w:sz w:val="24"/>
          <w:szCs w:val="24"/>
        </w:rPr>
        <w:t>AI</w:t>
      </w:r>
      <w:r>
        <w:rPr>
          <w:rFonts w:hint="eastAsia" w:ascii="宋体" w:hAnsi="宋体" w:eastAsia="宋体" w:cs="宋体"/>
          <w:sz w:val="24"/>
          <w:szCs w:val="24"/>
        </w:rPr>
        <w:t>技术滥用红线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即</w:t>
      </w:r>
      <w:r>
        <w:rPr>
          <w:rFonts w:hint="eastAsia" w:ascii="宋体" w:hAnsi="宋体" w:eastAsia="宋体" w:cs="宋体"/>
          <w:sz w:val="24"/>
          <w:szCs w:val="24"/>
        </w:rPr>
        <w:t>利用</w:t>
      </w:r>
      <w:r>
        <w:rPr>
          <w:rFonts w:hint="eastAsia" w:ascii="Times New Roman" w:hAnsi="Times New Roman" w:eastAsia="宋体" w:cs="宋体"/>
          <w:sz w:val="24"/>
          <w:szCs w:val="24"/>
        </w:rPr>
        <w:t>AI</w:t>
      </w:r>
      <w:r>
        <w:rPr>
          <w:rFonts w:hint="eastAsia" w:ascii="宋体" w:hAnsi="宋体" w:eastAsia="宋体" w:cs="宋体"/>
          <w:sz w:val="24"/>
          <w:szCs w:val="24"/>
        </w:rPr>
        <w:t>拟声或合成视频配合区块链匿名转账实施诈骗。即便仅负责线下取款、转移资金，也会被认定为诈骗罪共犯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二是</w:t>
      </w:r>
      <w:r>
        <w:rPr>
          <w:rFonts w:hint="eastAsia" w:ascii="宋体" w:hAnsi="宋体" w:eastAsia="宋体" w:cs="宋体"/>
          <w:sz w:val="24"/>
          <w:szCs w:val="24"/>
        </w:rPr>
        <w:t>虚假投资引流红线</w:t>
      </w:r>
      <w:r>
        <w:rPr>
          <w:rFonts w:hint="eastAsia" w:ascii="宋体" w:hAnsi="宋体" w:eastAsia="宋体" w:cs="宋体"/>
          <w:sz w:val="24"/>
          <w:szCs w:val="24"/>
          <w:lang w:eastAsia="zh-CN"/>
        </w:rPr>
        <w:t>。</w:t>
      </w:r>
      <w:r>
        <w:rPr>
          <w:rFonts w:hint="eastAsia" w:ascii="宋体" w:hAnsi="宋体" w:eastAsia="宋体" w:cs="宋体"/>
          <w:sz w:val="24"/>
          <w:szCs w:val="24"/>
        </w:rPr>
        <w:t>严禁虚构</w:t>
      </w:r>
      <w:r>
        <w:rPr>
          <w:rFonts w:hint="eastAsia" w:ascii="Times New Roman" w:hAnsi="Times New Roman" w:eastAsia="宋体" w:cs="宋体"/>
          <w:sz w:val="24"/>
          <w:szCs w:val="24"/>
        </w:rPr>
        <w:t>Web3</w:t>
      </w:r>
      <w:r>
        <w:rPr>
          <w:rFonts w:hint="eastAsia" w:ascii="宋体" w:hAnsi="宋体" w:eastAsia="宋体" w:cs="宋体"/>
          <w:sz w:val="24"/>
          <w:szCs w:val="24"/>
        </w:rPr>
        <w:t>项目背景、伪造高额回报数据或通过社交软件诱导用户进入封闭群组进行投资。此类行为被定性为诈骗罪，首要分子面临无期徒刑的顶格处罚。</w:t>
      </w:r>
      <w:r>
        <w:rPr>
          <w:rFonts w:hint="eastAsia" w:ascii="宋体" w:hAnsi="宋体" w:eastAsia="宋体" w:cs="宋体"/>
          <w:sz w:val="24"/>
          <w:szCs w:val="24"/>
          <w:lang w:val="en-US" w:eastAsia="zh-CN"/>
        </w:rPr>
        <w:t>三是</w:t>
      </w:r>
      <w:r>
        <w:rPr>
          <w:rFonts w:hint="eastAsia" w:ascii="宋体" w:hAnsi="宋体" w:eastAsia="宋体" w:cs="宋体"/>
          <w:sz w:val="24"/>
          <w:szCs w:val="24"/>
        </w:rPr>
        <w:t>技术外包的“帮信罪”风险</w:t>
      </w:r>
      <w:r>
        <w:rPr>
          <w:rFonts w:hint="eastAsia" w:ascii="宋体" w:hAnsi="宋体" w:eastAsia="宋体" w:cs="宋体"/>
          <w:sz w:val="24"/>
          <w:szCs w:val="24"/>
          <w:lang w:eastAsia="zh-CN"/>
        </w:rPr>
        <w:t>，</w:t>
      </w:r>
      <w:r>
        <w:rPr>
          <w:rFonts w:hint="eastAsia" w:ascii="宋体" w:hAnsi="宋体" w:eastAsia="宋体" w:cs="宋体"/>
          <w:sz w:val="24"/>
          <w:szCs w:val="24"/>
        </w:rPr>
        <w:t>境内技术团队如果明知其开发的区块链平台被用于电信诈骗或赌博结算，仍提供维护与</w:t>
      </w:r>
      <w:r>
        <w:rPr>
          <w:rFonts w:hint="eastAsia" w:ascii="Times New Roman" w:hAnsi="Times New Roman" w:eastAsia="宋体" w:cs="宋体"/>
          <w:sz w:val="24"/>
          <w:szCs w:val="24"/>
        </w:rPr>
        <w:t>API</w:t>
      </w:r>
      <w:r>
        <w:rPr>
          <w:rFonts w:hint="eastAsia" w:ascii="宋体" w:hAnsi="宋体" w:eastAsia="宋体" w:cs="宋体"/>
          <w:sz w:val="24"/>
          <w:szCs w:val="24"/>
        </w:rPr>
        <w:t>接口服务，将触犯“帮助信息网络犯罪活动罪”。</w:t>
      </w:r>
    </w:p>
    <w:p w14:paraId="194273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6</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风险考量与司法趋势</w:t>
      </w:r>
    </w:p>
    <w:p w14:paraId="57654B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目前的司法处理呈现出“全链条治理”的特点，执法部门不再仅盯着境外的“上线”，而是通过资金流向精准打击境内的“跑腿”和技术支持环节。与此同时，退赃退赔被确立为从轻处罚的重要考量因素，甚至包括被告人自愿补偿被骗人员损失的行为。</w:t>
      </w:r>
    </w:p>
    <w:p w14:paraId="7996A6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七、境内与香港的联动格局：“前店后厂”的协同与边界</w:t>
      </w:r>
    </w:p>
    <w:p w14:paraId="183AA6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7</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香港：作为合规试验场与资本门户</w:t>
      </w:r>
    </w:p>
    <w:p w14:paraId="2D2CC9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香港特区对</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保持着开放且积极的态度，全力支持其成为全球虚拟资产中心。对于中国境内的企业而言，香港提供了一个在合规框架下接触国际市场与虚拟货币金融服务的“实验室”。</w:t>
      </w:r>
    </w:p>
    <w:p w14:paraId="48D75A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7</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“前店后厂”模式的战略部署</w:t>
      </w:r>
    </w:p>
    <w:p w14:paraId="1A0BB8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所谓“前店后厂”，是指在香港注册合规主体负责金融牌照申请、代币发行与海外运营（前店），而将技术研发、数据处理及部分运维环节保留在深圳、上海等内地城市（后厂）。</w:t>
      </w:r>
      <w:bookmarkStart w:id="0" w:name="_GoBack"/>
      <w:bookmarkEnd w:id="0"/>
      <w:r>
        <w:rPr>
          <w:rFonts w:hint="eastAsia" w:ascii="宋体" w:hAnsi="宋体" w:eastAsia="宋体" w:cs="宋体"/>
          <w:sz w:val="24"/>
          <w:szCs w:val="24"/>
          <w:lang w:val="en-US" w:eastAsia="zh-CN"/>
        </w:rPr>
        <w:t>这种模式的商业优势在于，一方面</w:t>
      </w:r>
      <w:r>
        <w:rPr>
          <w:rFonts w:hint="eastAsia" w:ascii="宋体" w:hAnsi="宋体" w:eastAsia="宋体" w:cs="宋体"/>
          <w:sz w:val="24"/>
          <w:szCs w:val="24"/>
        </w:rPr>
        <w:t>利用内地成熟的</w:t>
      </w:r>
      <w:r>
        <w:rPr>
          <w:rFonts w:hint="eastAsia" w:ascii="Times New Roman" w:hAnsi="Times New Roman" w:eastAsia="宋体" w:cs="宋体"/>
          <w:sz w:val="24"/>
          <w:szCs w:val="24"/>
        </w:rPr>
        <w:t>Web3</w:t>
      </w:r>
      <w:r>
        <w:rPr>
          <w:rFonts w:hint="eastAsia" w:ascii="宋体" w:hAnsi="宋体" w:eastAsia="宋体" w:cs="宋体"/>
          <w:sz w:val="24"/>
          <w:szCs w:val="24"/>
        </w:rPr>
        <w:t>人才储备与较低的研发成本</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实现了降本增效；另一方面，至少在表面上</w:t>
      </w:r>
      <w:r>
        <w:rPr>
          <w:rFonts w:hint="eastAsia" w:ascii="宋体" w:hAnsi="宋体" w:eastAsia="宋体" w:cs="宋体"/>
          <w:sz w:val="24"/>
          <w:szCs w:val="24"/>
        </w:rPr>
        <w:t>实现了境内业务与境外金融风险的隔离。</w:t>
      </w:r>
    </w:p>
    <w:p w14:paraId="7BA284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7</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合规敏感性与防火墙失效预警</w:t>
      </w:r>
    </w:p>
    <w:p w14:paraId="67179B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而，已有的司法实践表明，这种模式并非天然的避风港，操作不当极易触发跨境司法风险：一方面，职能模糊会导致法律身份失效，若境内团队深度参与了代币设计、用户运营或资金决策，其“纯技术外包”的身份将不复存在；另一方面，在穿透式监管下，监管机构会穿透表面架构并关注实际控制链，一旦关键决策依然在境内做出，项目仍可能被认定为变相在内地开展非法业务。</w:t>
      </w:r>
    </w:p>
    <w:p w14:paraId="5156E7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因此，建立彻底的“法律防火墙”——包括控制链切割、明确职能分工、由境外主体持有核心</w:t>
      </w:r>
      <w:r>
        <w:rPr>
          <w:rFonts w:hint="eastAsia" w:ascii="Times New Roman" w:hAnsi="Times New Roman" w:eastAsia="宋体" w:cs="宋体"/>
          <w:sz w:val="24"/>
          <w:szCs w:val="24"/>
          <w:lang w:val="en-US" w:eastAsia="zh-CN"/>
        </w:rPr>
        <w:t>IP</w:t>
      </w:r>
      <w:r>
        <w:rPr>
          <w:rFonts w:hint="eastAsia" w:ascii="宋体" w:hAnsi="宋体" w:eastAsia="宋体" w:cs="宋体"/>
          <w:sz w:val="24"/>
          <w:szCs w:val="24"/>
          <w:lang w:val="en-US" w:eastAsia="zh-CN"/>
        </w:rPr>
        <w:t>与资产——是</w:t>
      </w: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年跨境</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协作的标配要求。</w:t>
      </w:r>
    </w:p>
    <w:p w14:paraId="039CDC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八、结论：构建可持续的数字中国底座</w:t>
      </w:r>
    </w:p>
    <w:p w14:paraId="08F581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综上所述，中国境内的</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发展已走出了一条具有主权特色的演进之路。这一路径的本质在于，将区块链从一种“博弈工具”重塑为一种“治理工具”。</w:t>
      </w:r>
    </w:p>
    <w:p w14:paraId="6C237A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2026</w:t>
      </w:r>
      <w:r>
        <w:rPr>
          <w:rFonts w:hint="eastAsia" w:ascii="宋体" w:hAnsi="宋体" w:eastAsia="宋体" w:cs="宋体"/>
          <w:sz w:val="24"/>
          <w:szCs w:val="24"/>
          <w:lang w:val="en-US" w:eastAsia="zh-CN"/>
        </w:rPr>
        <w:t>年的中国</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蓝图是清晰的：以数字人民币为价值底座，以国家级联盟链为技术骨架，以数据要素为核心动力，在强合规的边框内，实现实体经济的数字化涅槃。这一范式不仅为中国经济提供了新质生产力，也为全球</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产业提供了另一种可能性——即在不挑战金融秩序的前提下，如何利用分布式技术构建一个更公平、更高效、更安全的数字社会。</w:t>
      </w:r>
    </w:p>
    <w:p w14:paraId="71C273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对于投资者与从业者而言，未来的机遇不在于如何规避监管进行二级市场博弈，而在于如何深入传统产业的毛细血管，利用</w:t>
      </w:r>
      <w:r>
        <w:rPr>
          <w:rFonts w:hint="eastAsia" w:ascii="Times New Roman" w:hAnsi="Times New Roman" w:eastAsia="宋体" w:cs="宋体"/>
          <w:sz w:val="24"/>
          <w:szCs w:val="24"/>
          <w:lang w:val="en-US" w:eastAsia="zh-CN"/>
        </w:rPr>
        <w:t>Web3</w:t>
      </w:r>
      <w:r>
        <w:rPr>
          <w:rFonts w:hint="eastAsia" w:ascii="宋体" w:hAnsi="宋体" w:eastAsia="宋体" w:cs="宋体"/>
          <w:sz w:val="24"/>
          <w:szCs w:val="24"/>
          <w:lang w:val="en-US" w:eastAsia="zh-CN"/>
        </w:rPr>
        <w:t>.</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技术解决信任缺失与效率低下真实痛点。在“中国特色”的逻辑下，唯有那些能够赋能实体、守住红线、创造社会价值的项目，才能在这一场波澜壮阔的数字化长跑中胜出。</w:t>
      </w:r>
    </w:p>
    <w:p w14:paraId="431421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sectPr>
      <w:headerReference r:id="rId3" w:type="default"/>
      <w:footerReference r:id="rId4"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D07F8">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DCE81E">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ADCE81E">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87E10">
    <w:pPr>
      <w:pStyle w:val="13"/>
      <w:pBdr>
        <w:bottom w:val="single" w:color="auto" w:sz="4" w:space="1"/>
      </w:pBdr>
    </w:pPr>
    <w:r>
      <w:rPr>
        <w:rFonts w:hint="eastAsia"/>
        <w:lang w:val="en-US" w:eastAsia="zh-CN"/>
      </w:rPr>
      <w:t>中国式Web3.0发展范式：底层技术赋能、强合规驱动与主权数字货币生态的深度融合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000B9"/>
    <w:multiLevelType w:val="singleLevel"/>
    <w:tmpl w:val="D2B000B9"/>
    <w:lvl w:ilvl="0" w:tentative="0">
      <w:start w:val="1"/>
      <w:numFmt w:val="chineseCounting"/>
      <w:pStyle w:val="2"/>
      <w:suff w:val="nothing"/>
      <w:lvlText w:val="%1、"/>
      <w:lvlJc w:val="left"/>
      <w:pPr>
        <w:ind w:left="0" w:firstLine="420"/>
      </w:pPr>
      <w:rPr>
        <w:rFonts w:hint="eastAsia"/>
      </w:rPr>
    </w:lvl>
  </w:abstractNum>
  <w:abstractNum w:abstractNumId="1">
    <w:nsid w:val="779201CB"/>
    <w:multiLevelType w:val="multilevel"/>
    <w:tmpl w:val="779201CB"/>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pStyle w:val="4"/>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w:lvlJc w:val="left"/>
      <w:pPr>
        <w:tabs>
          <w:tab w:val="left" w:pos="0"/>
        </w:tabs>
        <w:ind w:left="0" w:firstLine="0"/>
      </w:pPr>
      <w:rPr>
        <w:rFonts w:hint="eastAsia" w:ascii="黑体" w:hAnsi="黑体" w:eastAsia="黑体"/>
      </w:rPr>
    </w:lvl>
    <w:lvl w:ilvl="3" w:tentative="0">
      <w:start w:val="1"/>
      <w:numFmt w:val="decimal"/>
      <w:pStyle w:val="6"/>
      <w:suff w:val="nothing"/>
      <w:lvlText w:val="（%4）"/>
      <w:lvlJc w:val="left"/>
      <w:pPr>
        <w:tabs>
          <w:tab w:val="left" w:pos="0"/>
        </w:tabs>
        <w:ind w:left="0" w:firstLine="0"/>
      </w:pPr>
      <w:rPr>
        <w:rFonts w:hint="eastAsia" w:ascii="黑体" w:hAnsi="黑体" w:eastAsia="黑体"/>
      </w:rPr>
    </w:lvl>
    <w:lvl w:ilvl="4" w:tentative="0">
      <w:start w:val="1"/>
      <w:numFmt w:val="decimalEnclosedCircleChinese"/>
      <w:pStyle w:val="7"/>
      <w:suff w:val="space"/>
      <w:lvlText w:val="%5"/>
      <w:lvlJc w:val="left"/>
      <w:pPr>
        <w:ind w:left="0" w:firstLine="0"/>
      </w:pPr>
      <w:rPr>
        <w:rFonts w:hint="eastAsia" w:ascii="黑体" w:hAnsi="黑体" w:eastAsia="黑体"/>
      </w:rPr>
    </w:lvl>
    <w:lvl w:ilvl="5" w:tentative="0">
      <w:start w:val="1"/>
      <w:numFmt w:val="decimal"/>
      <w:pStyle w:val="8"/>
      <w:suff w:val="nothing"/>
      <w:lvlText w:val="%6）"/>
      <w:lvlJc w:val="left"/>
      <w:pPr>
        <w:ind w:left="0" w:firstLine="0"/>
      </w:pPr>
      <w:rPr>
        <w:rFonts w:hint="eastAsia"/>
      </w:rPr>
    </w:lvl>
    <w:lvl w:ilvl="6" w:tentative="0">
      <w:start w:val="1"/>
      <w:numFmt w:val="lowerLetter"/>
      <w:pStyle w:val="9"/>
      <w:suff w:val="nothing"/>
      <w:lvlText w:val="%7．"/>
      <w:lvlJc w:val="left"/>
      <w:pPr>
        <w:ind w:left="0" w:firstLine="0"/>
      </w:pPr>
      <w:rPr>
        <w:rFonts w:hint="eastAsia"/>
      </w:rPr>
    </w:lvl>
    <w:lvl w:ilvl="7" w:tentative="0">
      <w:start w:val="1"/>
      <w:numFmt w:val="lowerLetter"/>
      <w:pStyle w:val="10"/>
      <w:suff w:val="nothing"/>
      <w:lvlText w:val="%8）"/>
      <w:lvlJc w:val="left"/>
      <w:pPr>
        <w:ind w:left="0" w:firstLine="0"/>
      </w:pPr>
      <w:rPr>
        <w:rFonts w:hint="eastAsia"/>
      </w:rPr>
    </w:lvl>
    <w:lvl w:ilvl="8" w:tentative="0">
      <w:start w:val="1"/>
      <w:numFmt w:val="lowerRoman"/>
      <w:pStyle w:val="11"/>
      <w:suff w:val="nothing"/>
      <w:lvlText w:val="%9 "/>
      <w:lvlJc w:val="left"/>
      <w:pPr>
        <w:ind w:left="0" w:firstLine="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F5E9C"/>
    <w:rsid w:val="07A04291"/>
    <w:rsid w:val="16C66104"/>
    <w:rsid w:val="207F2647"/>
    <w:rsid w:val="2D1B36F8"/>
    <w:rsid w:val="2EE91529"/>
    <w:rsid w:val="316F64A7"/>
    <w:rsid w:val="4C787385"/>
    <w:rsid w:val="74230A13"/>
    <w:rsid w:val="7AB01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numPr>
        <w:ilvl w:val="0"/>
        <w:numId w:val="1"/>
      </w:numPr>
      <w:ind w:firstLine="0"/>
      <w:outlineLvl w:val="0"/>
    </w:pPr>
    <w:rPr>
      <w:rFonts w:eastAsia="黑体" w:asciiTheme="minorAscii" w:hAnsiTheme="minorAscii"/>
      <w:b/>
      <w:bCs/>
      <w:sz w:val="28"/>
      <w:szCs w:val="36"/>
    </w:rPr>
  </w:style>
  <w:style w:type="paragraph" w:styleId="4">
    <w:name w:val="heading 2"/>
    <w:basedOn w:val="1"/>
    <w:next w:val="1"/>
    <w:semiHidden/>
    <w:unhideWhenUsed/>
    <w:qFormat/>
    <w:uiPriority w:val="0"/>
    <w:pPr>
      <w:keepNext/>
      <w:keepLines/>
      <w:numPr>
        <w:ilvl w:val="1"/>
        <w:numId w:val="2"/>
      </w:numPr>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3"/>
    <w:semiHidden/>
    <w:unhideWhenUsed/>
    <w:qFormat/>
    <w:uiPriority w:val="0"/>
    <w:pPr>
      <w:numPr>
        <w:ilvl w:val="2"/>
        <w:numId w:val="2"/>
      </w:numPr>
      <w:tabs>
        <w:tab w:val="left" w:pos="312"/>
        <w:tab w:val="clear" w:pos="0"/>
      </w:tabs>
      <w:adjustRightInd w:val="0"/>
      <w:snapToGrid w:val="0"/>
      <w:spacing w:before="100" w:beforeLines="100" w:after="50" w:afterLines="50" w:line="288" w:lineRule="auto"/>
      <w:ind w:left="0" w:firstLine="0"/>
      <w:outlineLvl w:val="2"/>
    </w:pPr>
    <w:rPr>
      <w:rFonts w:ascii="黑体" w:hAnsi="黑体" w:eastAsia="黑体"/>
      <w:bCs/>
      <w:sz w:val="24"/>
      <w:szCs w:val="30"/>
    </w:rPr>
  </w:style>
  <w:style w:type="paragraph" w:styleId="6">
    <w:name w:val="heading 4"/>
    <w:basedOn w:val="1"/>
    <w:next w:val="1"/>
    <w:semiHidden/>
    <w:unhideWhenUsed/>
    <w:qFormat/>
    <w:uiPriority w:val="0"/>
    <w:pPr>
      <w:keepNext/>
      <w:keepLines/>
      <w:numPr>
        <w:ilvl w:val="3"/>
        <w:numId w:val="2"/>
      </w:numPr>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outlineLvl w:val="4"/>
    </w:pPr>
    <w:rPr>
      <w:b/>
      <w:sz w:val="28"/>
    </w:rPr>
  </w:style>
  <w:style w:type="paragraph" w:styleId="8">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outlineLvl w:val="6"/>
    </w:pPr>
    <w:rPr>
      <w:b/>
      <w:sz w:val="24"/>
    </w:rPr>
  </w:style>
  <w:style w:type="paragraph" w:styleId="10">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outlineLvl w:val="8"/>
    </w:pPr>
    <w:rPr>
      <w:rFonts w:ascii="Arial" w:hAnsi="Arial" w:eastAsia="黑体"/>
      <w:sz w:val="21"/>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00" w:after="100" w:afterLines="0" w:line="300" w:lineRule="auto"/>
      <w:ind w:firstLine="1124" w:firstLineChars="200"/>
    </w:pPr>
    <w:rPr>
      <w:rFonts w:ascii="Arial" w:hAnsi="Arial" w:eastAsia="黑体" w:cs="Arial"/>
      <w:sz w:val="24"/>
      <w:szCs w:val="21"/>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5">
    <w:name w:val="Table Grid"/>
    <w:basedOn w:val="1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5495</Words>
  <Characters>5969</Characters>
  <Lines>0</Lines>
  <Paragraphs>0</Paragraphs>
  <TotalTime>27</TotalTime>
  <ScaleCrop>false</ScaleCrop>
  <LinksUpToDate>false</LinksUpToDate>
  <CharactersWithSpaces>5971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2026-04-03T01:13:00Z</dcterms:created>
  <dc:creator>AISAKA</dc:creator>
  <cp:lastModifiedBy>AISAKA</cp:lastModifiedBy>
  <dcterms:modified xsi:type="dcterms:W3CDTF">2026-04-10T06:08:32Z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586166DE50AC4DCAA09388B22C9946DB_13</vt:lpwstr>
  </property>
  <property fmtid="{D5CDD505-2E9C-101B-9397-08002B2CF9AE}" pid="4" name="KSOTemplateDocerSaveRecord">
    <vt:lpwstr>eyJoZGlkIjoiYTBlMGI0OTU3ZGU1M2NkNzQzNWZmNTM3Mjk5M2NlNTIiLCJ1c2VySWQiOiIzNDYxODYwMjkifQ==</vt:lpwstr>
  </property>
</Properties>
</file>