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header-c534"/>
      <w:bookmarkEnd w:id="0"/>
      <w:r>
        <w:t>华北电力大学毕业设计(论文)附件外文文献翻译</w:t>
      </w:r>
    </w:p>
    <w:p>
      <w:pPr>
        <w:pStyle w:val="2"/>
      </w:pPr>
      <w:bookmarkStart w:id="1" w:name="header-c536"/>
      <w:bookmarkEnd w:id="1"/>
      <w:r>
        <w:t>目录</w:t>
      </w:r>
    </w:p>
    <w:p>
      <w:pPr>
        <w:pStyle w:val="20"/>
      </w:pPr>
      <w:r>
        <w:fldChar w:fldCharType="begin"/>
      </w:r>
      <w:r>
        <w:instrText xml:space="preserve"> HYPERLINK \l "header-c538" \h </w:instrText>
      </w:r>
      <w:r>
        <w:fldChar w:fldCharType="separate"/>
      </w:r>
      <w:r>
        <w:rPr>
          <w:rStyle w:val="16"/>
        </w:rPr>
        <w:t>32 控制器局域网路（CAN）</w:t>
      </w:r>
      <w:r>
        <w:rPr>
          <w:rStyle w:val="16"/>
        </w:rPr>
        <w:fldChar w:fldCharType="end"/>
      </w:r>
      <w:r>
        <w:br w:type="textWrapping"/>
      </w:r>
      <w:r>
        <w:tab/>
      </w:r>
      <w:r>
        <w:fldChar w:fldCharType="begin"/>
      </w:r>
      <w:r>
        <w:instrText xml:space="preserve"> HYPERLINK \l "header-c539" \h </w:instrText>
      </w:r>
      <w:r>
        <w:fldChar w:fldCharType="separate"/>
      </w:r>
      <w:r>
        <w:rPr>
          <w:rStyle w:val="16"/>
        </w:rPr>
        <w:t>32.1 简介</w:t>
      </w:r>
      <w:r>
        <w:rPr>
          <w:rStyle w:val="16"/>
        </w:rPr>
        <w:fldChar w:fldCharType="end"/>
      </w:r>
      <w:r>
        <w:br w:type="textWrapping"/>
      </w:r>
      <w:r>
        <w:tab/>
      </w:r>
      <w:r>
        <w:fldChar w:fldCharType="begin"/>
      </w:r>
      <w:r>
        <w:instrText xml:space="preserve"> HYPERLINK \l "header-c552" \h </w:instrText>
      </w:r>
      <w:r>
        <w:fldChar w:fldCharType="separate"/>
      </w:r>
      <w:r>
        <w:rPr>
          <w:rStyle w:val="16"/>
        </w:rPr>
        <w:t>32.2 嵌入式的特点</w:t>
      </w:r>
      <w:r>
        <w:rPr>
          <w:rStyle w:val="16"/>
        </w:rPr>
        <w:fldChar w:fldCharType="end"/>
      </w:r>
      <w:r>
        <w:br w:type="textWrapping"/>
      </w:r>
      <w:r>
        <w:tab/>
      </w:r>
      <w:r>
        <w:fldChar w:fldCharType="begin"/>
      </w:r>
      <w:r>
        <w:instrText xml:space="preserve"> HYPERLINK \l "header-c603" \h </w:instrText>
      </w:r>
      <w:r>
        <w:fldChar w:fldCharType="separate"/>
      </w:r>
      <w:r>
        <w:rPr>
          <w:rStyle w:val="16"/>
        </w:rPr>
        <w:t>32.3 框图</w:t>
      </w:r>
      <w:r>
        <w:rPr>
          <w:rStyle w:val="16"/>
        </w:rPr>
        <w:fldChar w:fldCharType="end"/>
      </w:r>
      <w:r>
        <w:br w:type="textWrapping"/>
      </w:r>
      <w:r>
        <w:tab/>
      </w:r>
      <w:r>
        <w:fldChar w:fldCharType="begin"/>
      </w:r>
      <w:r>
        <w:instrText xml:space="preserve"> HYPERLINK \l "header-c608" \h </w:instrText>
      </w:r>
      <w:r>
        <w:fldChar w:fldCharType="separate"/>
      </w:r>
      <w:r>
        <w:rPr>
          <w:rStyle w:val="16"/>
        </w:rPr>
        <w:t>32.4 应用框图</w:t>
      </w:r>
      <w:r>
        <w:rPr>
          <w:rStyle w:val="16"/>
        </w:rPr>
        <w:fldChar w:fldCharType="end"/>
      </w:r>
      <w:r>
        <w:br w:type="textWrapping"/>
      </w:r>
      <w:r>
        <w:tab/>
      </w:r>
      <w:r>
        <w:fldChar w:fldCharType="begin"/>
      </w:r>
      <w:r>
        <w:instrText xml:space="preserve"> HYPERLINK \l "header-c629" \h </w:instrText>
      </w:r>
      <w:r>
        <w:fldChar w:fldCharType="separate"/>
      </w:r>
      <w:r>
        <w:rPr>
          <w:rStyle w:val="16"/>
        </w:rPr>
        <w:t>32.5 I/O 总线简介</w:t>
      </w:r>
      <w:r>
        <w:rPr>
          <w:rStyle w:val="16"/>
        </w:rPr>
        <w:fldChar w:fldCharType="end"/>
      </w:r>
      <w:r>
        <w:br w:type="textWrapping"/>
      </w:r>
      <w:r>
        <w:tab/>
      </w:r>
      <w:r>
        <w:fldChar w:fldCharType="begin"/>
      </w:r>
      <w:r>
        <w:instrText xml:space="preserve"> HYPERLINK \l "header-c645" \h </w:instrText>
      </w:r>
      <w:r>
        <w:fldChar w:fldCharType="separate"/>
      </w:r>
      <w:r>
        <w:rPr>
          <w:rStyle w:val="16"/>
        </w:rPr>
        <w:t>32.6 产品依赖</w:t>
      </w:r>
      <w:r>
        <w:rPr>
          <w:rStyle w:val="16"/>
        </w:rPr>
        <w:fldChar w:fldCharType="end"/>
      </w:r>
      <w:r>
        <w:br w:type="textWrapping"/>
      </w:r>
      <w:r>
        <w:tab/>
        <w:t/>
      </w:r>
      <w:r>
        <w:tab/>
      </w:r>
      <w:r>
        <w:fldChar w:fldCharType="begin"/>
      </w:r>
      <w:r>
        <w:instrText xml:space="preserve"> HYPERLINK \l "header-c646" \h </w:instrText>
      </w:r>
      <w:r>
        <w:fldChar w:fldCharType="separate"/>
      </w:r>
      <w:r>
        <w:rPr>
          <w:rStyle w:val="16"/>
        </w:rPr>
        <w:t>32.6.1 I/O 总线</w:t>
      </w:r>
      <w:r>
        <w:rPr>
          <w:rStyle w:val="16"/>
        </w:rPr>
        <w:fldChar w:fldCharType="end"/>
      </w:r>
      <w:r>
        <w:br w:type="textWrapping"/>
      </w:r>
      <w:r>
        <w:tab/>
        <w:t/>
      </w:r>
      <w:r>
        <w:tab/>
      </w:r>
      <w:r>
        <w:fldChar w:fldCharType="begin"/>
      </w:r>
      <w:r>
        <w:instrText xml:space="preserve"> HYPERLINK \l "header-c677" \h </w:instrText>
      </w:r>
      <w:r>
        <w:fldChar w:fldCharType="separate"/>
      </w:r>
      <w:r>
        <w:rPr>
          <w:rStyle w:val="16"/>
        </w:rPr>
        <w:t>32.6.2 资源管理器</w:t>
      </w:r>
      <w:r>
        <w:rPr>
          <w:rStyle w:val="16"/>
        </w:rPr>
        <w:fldChar w:fldCharType="end"/>
      </w:r>
      <w:r>
        <w:br w:type="textWrapping"/>
      </w:r>
      <w:r>
        <w:tab/>
        <w:t/>
      </w:r>
      <w:r>
        <w:tab/>
      </w:r>
      <w:r>
        <w:fldChar w:fldCharType="begin"/>
      </w:r>
      <w:r>
        <w:instrText xml:space="preserve"> HYPERLINK \l "header-c682" \h </w:instrText>
      </w:r>
      <w:r>
        <w:fldChar w:fldCharType="separate"/>
      </w:r>
      <w:r>
        <w:rPr>
          <w:rStyle w:val="16"/>
        </w:rPr>
        <w:t>32.6.3 中断资源</w:t>
      </w:r>
      <w:r>
        <w:rPr>
          <w:rStyle w:val="16"/>
        </w:rPr>
        <w:fldChar w:fldCharType="end"/>
      </w:r>
      <w:r>
        <w:br w:type="textWrapping"/>
      </w:r>
      <w:r>
        <w:tab/>
      </w:r>
      <w:r>
        <w:fldChar w:fldCharType="begin"/>
      </w:r>
      <w:r>
        <w:instrText xml:space="preserve"> HYPERLINK \l "header-c697" \h </w:instrText>
      </w:r>
      <w:r>
        <w:fldChar w:fldCharType="separate"/>
      </w:r>
      <w:r>
        <w:rPr>
          <w:rStyle w:val="16"/>
        </w:rPr>
        <w:t>32.7 CAN 控制器的特色</w:t>
      </w:r>
      <w:r>
        <w:rPr>
          <w:rStyle w:val="16"/>
        </w:rPr>
        <w:fldChar w:fldCharType="end"/>
      </w:r>
      <w:r>
        <w:br w:type="textWrapping"/>
      </w:r>
      <w:r>
        <w:tab/>
        <w:t/>
      </w:r>
      <w:r>
        <w:tab/>
      </w:r>
      <w:r>
        <w:fldChar w:fldCharType="begin"/>
      </w:r>
      <w:r>
        <w:instrText xml:space="preserve"> HYPERLINK \l "header-c698" \h </w:instrText>
      </w:r>
      <w:r>
        <w:fldChar w:fldCharType="separate"/>
      </w:r>
      <w:r>
        <w:rPr>
          <w:rStyle w:val="16"/>
        </w:rPr>
        <w:t>32.7.1 CAN 协议概述</w:t>
      </w:r>
      <w:r>
        <w:rPr>
          <w:rStyle w:val="16"/>
        </w:rPr>
        <w:fldChar w:fldCharType="end"/>
      </w:r>
      <w:r>
        <w:br w:type="textWrapping"/>
      </w:r>
      <w:r>
        <w:tab/>
        <w:t/>
      </w:r>
      <w:r>
        <w:tab/>
      </w:r>
      <w:r>
        <w:fldChar w:fldCharType="begin"/>
      </w:r>
      <w:r>
        <w:instrText xml:space="preserve"> HYPERLINK \l "header-c720" \h </w:instrText>
      </w:r>
      <w:r>
        <w:fldChar w:fldCharType="separate"/>
      </w:r>
      <w:r>
        <w:rPr>
          <w:rStyle w:val="16"/>
        </w:rPr>
        <w:t>32.7.2 邮箱的组织</w:t>
      </w:r>
      <w:r>
        <w:rPr>
          <w:rStyle w:val="16"/>
        </w:rPr>
        <w:fldChar w:fldCharType="end"/>
      </w:r>
      <w:r>
        <w:br w:type="textWrapping"/>
      </w:r>
      <w:r>
        <w:tab/>
        <w:t/>
      </w:r>
      <w:r>
        <w:tab/>
        <w:t/>
      </w:r>
      <w:r>
        <w:tab/>
      </w:r>
      <w:r>
        <w:fldChar w:fldCharType="begin"/>
      </w:r>
      <w:r>
        <w:instrText xml:space="preserve"> HYPERLINK \l "header-c725" \h </w:instrText>
      </w:r>
      <w:r>
        <w:fldChar w:fldCharType="separate"/>
      </w:r>
      <w:r>
        <w:rPr>
          <w:rStyle w:val="16"/>
        </w:rPr>
        <w:t>32.7.2.1 信息接受过程</w:t>
      </w:r>
      <w:r>
        <w:rPr>
          <w:rStyle w:val="16"/>
        </w:rPr>
        <w:fldChar w:fldCharType="end"/>
      </w:r>
      <w:r>
        <w:br w:type="textWrapping"/>
      </w:r>
      <w:r>
        <w:tab/>
        <w:t/>
      </w:r>
      <w:r>
        <w:tab/>
        <w:t/>
      </w:r>
      <w:r>
        <w:tab/>
      </w:r>
      <w:r>
        <w:fldChar w:fldCharType="begin"/>
      </w:r>
      <w:r>
        <w:instrText xml:space="preserve"> HYPERLINK \l "header-c749" \h </w:instrText>
      </w:r>
      <w:r>
        <w:fldChar w:fldCharType="separate"/>
      </w:r>
      <w:r>
        <w:rPr>
          <w:rStyle w:val="16"/>
        </w:rPr>
        <w:t>32.7.2.2 接收邮箱</w:t>
      </w:r>
      <w:r>
        <w:rPr>
          <w:rStyle w:val="16"/>
        </w:rPr>
        <w:fldChar w:fldCharType="end"/>
      </w:r>
      <w:r>
        <w:br w:type="textWrapping"/>
      </w:r>
      <w:r>
        <w:tab/>
        <w:t/>
      </w:r>
      <w:r>
        <w:tab/>
        <w:t/>
      </w:r>
      <w:r>
        <w:tab/>
      </w:r>
      <w:r>
        <w:fldChar w:fldCharType="begin"/>
      </w:r>
      <w:r>
        <w:instrText xml:space="preserve"> HYPERLINK \l "header-c771" \h </w:instrText>
      </w:r>
      <w:r>
        <w:fldChar w:fldCharType="separate"/>
      </w:r>
      <w:r>
        <w:rPr>
          <w:rStyle w:val="16"/>
        </w:rPr>
        <w:t>32.7.2.3 传输邮箱</w:t>
      </w:r>
      <w:r>
        <w:rPr>
          <w:rStyle w:val="16"/>
        </w:rPr>
        <w:fldChar w:fldCharType="end"/>
      </w:r>
    </w:p>
    <w:p>
      <w:pPr>
        <w:pStyle w:val="2"/>
      </w:pPr>
      <w:bookmarkStart w:id="2" w:name="header-c538"/>
      <w:bookmarkEnd w:id="2"/>
      <w:r>
        <w:t>32 控制器局域网路（CAN）</w:t>
      </w:r>
    </w:p>
    <w:p>
      <w:pPr>
        <w:pStyle w:val="4"/>
      </w:pPr>
      <w:bookmarkStart w:id="3" w:name="header-c539"/>
      <w:bookmarkEnd w:id="3"/>
      <w:r>
        <w:t>32.1 简介</w:t>
      </w:r>
    </w:p>
    <w:p>
      <w:pPr>
        <w:pStyle w:val="20"/>
      </w:pPr>
      <w:r>
        <w:t>爱特梅尔控制器局域网络（CAN）提供了由罗伯特博世有限公司起草的串行通信协议要求实现的所有功能，CAN 为实现高速部分援引的是 ISO/11898A(2.0 A部分 2.0 B部分)规范，为实现低速部分援引的是 ISO/11519-2。CAN 控制器能够处理所有类型的帧（数据、远程、错误和过载）并且能达到 1 Mbit/s 的比特率。</w:t>
      </w:r>
    </w:p>
    <w:p>
      <w:pPr>
        <w:pStyle w:val="3"/>
      </w:pPr>
      <w:r>
        <w:t>可以通过配置寄存器来访问 CAN 控制器。CAN 控制器实现了 8 个独立的消息对象（邮箱）。</w:t>
      </w:r>
    </w:p>
    <w:p>
      <w:pPr>
        <w:pStyle w:val="3"/>
      </w:pPr>
      <w:r>
        <w:t>任何一个邮箱都能被程序设定为接收缓冲块（甚至非连续缓冲区）。为了定义消息的接收，一个或多个消息对象能被掩盖不参与缓冲特性。当缓冲区满的时候会生成一个中断。通过的配置选项，第一个被接收的消息可以被锁存在 CAN 控制器中直到应用承认它，或者这个消息能被新接收的消息丢弃。</w:t>
      </w:r>
    </w:p>
    <w:p>
      <w:pPr>
        <w:pStyle w:val="3"/>
      </w:pPr>
      <w:r>
        <w:t>任何一个邮箱也能被程序设定为变速器。允许同时设置多个传送邮箱。每个独立的邮箱都可以设定优先级。</w:t>
      </w:r>
    </w:p>
    <w:p>
      <w:pPr>
        <w:pStyle w:val="3"/>
      </w:pPr>
      <w:r>
        <w:t>每一次接收和发送的消息都会被一个内部的 16 位的时间戳标记。当 CAN 控制器一可用这个时间戳就开始计数，这个计数器能够被应用重置，或者在接收最后一个时间触发模式的邮箱之后自动地计数。</w:t>
      </w:r>
    </w:p>
    <w:p>
      <w:pPr>
        <w:pStyle w:val="3"/>
      </w:pPr>
      <w:r>
        <w:t>CAN 控制器提供最佳化的特性去支持时间触发通信（TTC）协议。</w:t>
      </w:r>
    </w:p>
    <w:p>
      <w:pPr>
        <w:pStyle w:val="4"/>
      </w:pPr>
      <w:bookmarkStart w:id="4" w:name="header-c552"/>
      <w:bookmarkEnd w:id="4"/>
      <w:r>
        <w:t>32.2 嵌入式的特点</w:t>
      </w:r>
    </w:p>
    <w:p>
      <w:pPr>
        <w:numPr>
          <w:ilvl w:val="0"/>
          <w:numId w:val="1"/>
        </w:numPr>
        <w:tabs>
          <w:tab w:val="left" w:pos="0"/>
        </w:tabs>
      </w:pPr>
      <w:r>
        <w:t>完全兼容 CAN 2.0 A 部分和 2.0 B 部分</w:t>
      </w:r>
    </w:p>
    <w:p>
      <w:pPr>
        <w:numPr>
          <w:ilvl w:val="0"/>
          <w:numId w:val="1"/>
        </w:numPr>
        <w:tabs>
          <w:tab w:val="left" w:pos="0"/>
        </w:tabs>
      </w:pPr>
      <w:r>
        <w:t>比特率高于 1 Mbit/s</w:t>
      </w:r>
    </w:p>
    <w:p>
      <w:pPr>
        <w:numPr>
          <w:ilvl w:val="0"/>
          <w:numId w:val="1"/>
        </w:numPr>
        <w:tabs>
          <w:tab w:val="left" w:pos="0"/>
        </w:tabs>
      </w:pPr>
      <w:r>
        <w:t>8 个面向对象邮箱具有以下特性：</w:t>
      </w:r>
    </w:p>
    <w:p>
      <w:pPr>
        <w:numPr>
          <w:ilvl w:val="1"/>
          <w:numId w:val="1"/>
        </w:numPr>
        <w:tabs>
          <w:tab w:val="left" w:pos="720"/>
        </w:tabs>
      </w:pPr>
      <w:r>
        <w:t>每个消息 可以根据 CAN 规范 2.0 的 A 部分 或者 B 部分编程</w:t>
      </w:r>
    </w:p>
    <w:p>
      <w:pPr>
        <w:numPr>
          <w:ilvl w:val="1"/>
          <w:numId w:val="1"/>
        </w:numPr>
        <w:tabs>
          <w:tab w:val="left" w:pos="720"/>
        </w:tabs>
      </w:pPr>
      <w:r>
        <w:t>在接收（有复写接收或者非复写接收）或传送模式对象可配置</w:t>
      </w:r>
    </w:p>
    <w:p>
      <w:pPr>
        <w:numPr>
          <w:ilvl w:val="1"/>
          <w:numId w:val="1"/>
        </w:numPr>
        <w:tabs>
          <w:tab w:val="left" w:pos="720"/>
        </w:tabs>
      </w:pPr>
      <w:r>
        <w:t>独立的 29 为标识符，并且每个邮箱可以掩藏定义</w:t>
      </w:r>
    </w:p>
    <w:p>
      <w:pPr>
        <w:numPr>
          <w:ilvl w:val="1"/>
          <w:numId w:val="1"/>
        </w:numPr>
        <w:tabs>
          <w:tab w:val="left" w:pos="720"/>
        </w:tabs>
      </w:pPr>
      <w:r>
        <w:t>可以 32 位寻址每个邮箱数据对象的数据寄存器</w:t>
      </w:r>
    </w:p>
    <w:p>
      <w:pPr>
        <w:numPr>
          <w:ilvl w:val="1"/>
          <w:numId w:val="1"/>
        </w:numPr>
        <w:tabs>
          <w:tab w:val="left" w:pos="720"/>
        </w:tabs>
      </w:pPr>
      <w:r>
        <w:t>可以在接收或者传送的消息上使用 16 位时间戳</w:t>
      </w:r>
    </w:p>
    <w:p>
      <w:pPr>
        <w:numPr>
          <w:ilvl w:val="1"/>
          <w:numId w:val="1"/>
        </w:numPr>
        <w:tabs>
          <w:tab w:val="left" w:pos="720"/>
        </w:tabs>
      </w:pPr>
      <w:r>
        <w:t>隐藏 ID 位域的硬件链接可以加速家庭 ID 进程</w:t>
      </w:r>
    </w:p>
    <w:p>
      <w:pPr>
        <w:numPr>
          <w:ilvl w:val="0"/>
          <w:numId w:val="1"/>
        </w:numPr>
        <w:tabs>
          <w:tab w:val="left" w:pos="0"/>
        </w:tabs>
      </w:pPr>
      <w:r>
        <w:t>16 位的内部定时器可以保证时间戳和网络的同步</w:t>
      </w:r>
    </w:p>
    <w:p>
      <w:pPr>
        <w:numPr>
          <w:ilvl w:val="0"/>
          <w:numId w:val="1"/>
        </w:numPr>
        <w:tabs>
          <w:tab w:val="left" w:pos="0"/>
        </w:tabs>
      </w:pPr>
      <w:r>
        <w:t>可编程的接收器缓冲区长达 8 个邮箱对象</w:t>
      </w:r>
    </w:p>
    <w:p>
      <w:pPr>
        <w:numPr>
          <w:ilvl w:val="0"/>
          <w:numId w:val="1"/>
        </w:numPr>
        <w:tabs>
          <w:tab w:val="left" w:pos="0"/>
        </w:tabs>
      </w:pPr>
      <w:r>
        <w:t>可以用权重管理传送邮箱</w:t>
      </w:r>
    </w:p>
    <w:p>
      <w:pPr>
        <w:numPr>
          <w:ilvl w:val="0"/>
          <w:numId w:val="1"/>
        </w:numPr>
        <w:tabs>
          <w:tab w:val="left" w:pos="0"/>
        </w:tabs>
      </w:pPr>
      <w:r>
        <w:t>有自适应和听力模式</w:t>
      </w:r>
    </w:p>
    <w:p>
      <w:pPr>
        <w:numPr>
          <w:ilvl w:val="0"/>
          <w:numId w:val="1"/>
        </w:numPr>
        <w:tabs>
          <w:tab w:val="left" w:pos="0"/>
        </w:tabs>
      </w:pPr>
      <w:r>
        <w:t>低功耗模式和可编程唤醒总线活动或者通过应用</w:t>
      </w:r>
    </w:p>
    <w:p>
      <w:pPr>
        <w:numPr>
          <w:ilvl w:val="0"/>
          <w:numId w:val="1"/>
        </w:numPr>
        <w:tabs>
          <w:tab w:val="left" w:pos="0"/>
        </w:tabs>
      </w:pPr>
      <w:r>
        <w:t>可处理数据，远程，错误和过载帧</w:t>
      </w:r>
    </w:p>
    <w:p>
      <w:pPr>
        <w:numPr>
          <w:ilvl w:val="0"/>
          <w:numId w:val="1"/>
        </w:numPr>
        <w:tabs>
          <w:tab w:val="left" w:pos="0"/>
        </w:tabs>
      </w:pPr>
      <w:r>
        <w:t>寄存器写保护</w:t>
      </w:r>
    </w:p>
    <w:p>
      <w:pPr>
        <w:pStyle w:val="4"/>
      </w:pPr>
      <w:bookmarkStart w:id="5" w:name="header-c603"/>
      <w:bookmarkEnd w:id="5"/>
      <w:r>
        <w:t>32.3 框图</w:t>
      </w:r>
    </w:p>
    <w:p>
      <w:pPr>
        <w:pStyle w:val="20"/>
      </w:pPr>
      <w:r>
        <w:t>图 32-1，CAN 框图</w:t>
      </w:r>
    </w:p>
    <w:p>
      <w:pPr>
        <w:pStyle w:val="30"/>
      </w:pPr>
      <w:r>
        <w:drawing>
          <wp:inline distT="0" distB="0" distL="114300" distR="114300">
            <wp:extent cx="5334000" cy="49377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4938074"/>
                    </a:xfrm>
                    <a:prstGeom prst="rect">
                      <a:avLst/>
                    </a:prstGeom>
                    <a:noFill/>
                    <a:ln w="9525">
                      <a:noFill/>
                    </a:ln>
                  </pic:spPr>
                </pic:pic>
              </a:graphicData>
            </a:graphic>
          </wp:inline>
        </w:drawing>
      </w:r>
    </w:p>
    <w:p>
      <w:pPr>
        <w:pStyle w:val="28"/>
      </w:pPr>
    </w:p>
    <w:p>
      <w:pPr>
        <w:pStyle w:val="4"/>
      </w:pPr>
      <w:bookmarkStart w:id="6" w:name="header-c608"/>
      <w:bookmarkEnd w:id="6"/>
      <w:r>
        <w:t>32.4 应用框图</w:t>
      </w:r>
    </w:p>
    <w:p>
      <w:pPr>
        <w:pStyle w:val="20"/>
      </w:pPr>
      <w:r>
        <w:t>图 32-2，应用框图</w:t>
      </w:r>
    </w:p>
    <w:p>
      <w:pPr>
        <w:pStyle w:val="30"/>
      </w:pPr>
      <w:r>
        <w:drawing>
          <wp:inline distT="0" distB="0" distL="114300" distR="114300">
            <wp:extent cx="5270500" cy="1854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270500" cy="1854200"/>
                    </a:xfrm>
                    <a:prstGeom prst="rect">
                      <a:avLst/>
                    </a:prstGeom>
                    <a:noFill/>
                    <a:ln w="9525">
                      <a:noFill/>
                    </a:ln>
                  </pic:spPr>
                </pic:pic>
              </a:graphicData>
            </a:graphic>
          </wp:inline>
        </w:drawing>
      </w:r>
    </w:p>
    <w:p>
      <w:pPr>
        <w:pStyle w:val="28"/>
      </w:pPr>
    </w:p>
    <w:tbl>
      <w:tblPr>
        <w:tblStyle w:val="19"/>
        <w:tblW w:w="6153" w:type="dxa"/>
        <w:tblInd w:w="0" w:type="dxa"/>
        <w:tblLayout w:type="fixed"/>
        <w:tblCellMar>
          <w:top w:w="0" w:type="dxa"/>
          <w:left w:w="108" w:type="dxa"/>
          <w:bottom w:w="0" w:type="dxa"/>
          <w:right w:w="108" w:type="dxa"/>
        </w:tblCellMar>
      </w:tblPr>
      <w:tblGrid>
        <w:gridCol w:w="2836"/>
        <w:gridCol w:w="3317"/>
      </w:tblGrid>
      <w:tr>
        <w:tc>
          <w:tcPr>
            <w:tcW w:w="2836" w:type="dxa"/>
            <w:tcBorders>
              <w:bottom w:val="single" w:color="auto" w:sz="0" w:space="0"/>
            </w:tcBorders>
            <w:vAlign w:val="bottom"/>
          </w:tcPr>
          <w:p>
            <w:pPr>
              <w:pStyle w:val="21"/>
              <w:jc w:val="left"/>
            </w:pPr>
            <w:r>
              <w:t>层</w:t>
            </w:r>
          </w:p>
        </w:tc>
        <w:tc>
          <w:tcPr>
            <w:tcW w:w="3317" w:type="dxa"/>
            <w:tcBorders>
              <w:bottom w:val="single" w:color="auto" w:sz="0" w:space="0"/>
            </w:tcBorders>
            <w:vAlign w:val="bottom"/>
          </w:tcPr>
          <w:p>
            <w:pPr>
              <w:pStyle w:val="21"/>
              <w:jc w:val="left"/>
            </w:pPr>
            <w:r>
              <w:t>实现</w:t>
            </w:r>
          </w:p>
        </w:tc>
      </w:tr>
      <w:tr>
        <w:tc>
          <w:tcPr>
            <w:tcW w:w="2836" w:type="dxa"/>
          </w:tcPr>
          <w:p>
            <w:pPr>
              <w:pStyle w:val="21"/>
              <w:jc w:val="left"/>
            </w:pPr>
            <w:r>
              <w:t>CAN 基础描述</w:t>
            </w:r>
          </w:p>
        </w:tc>
        <w:tc>
          <w:tcPr>
            <w:tcW w:w="3317" w:type="dxa"/>
          </w:tcPr>
          <w:p>
            <w:pPr>
              <w:pStyle w:val="21"/>
              <w:jc w:val="left"/>
            </w:pPr>
            <w:r>
              <w:t>软件</w:t>
            </w:r>
          </w:p>
        </w:tc>
      </w:tr>
      <w:tr>
        <w:tc>
          <w:tcPr>
            <w:tcW w:w="2836" w:type="dxa"/>
          </w:tcPr>
          <w:p>
            <w:pPr>
              <w:pStyle w:val="21"/>
              <w:jc w:val="left"/>
            </w:pPr>
            <w:r>
              <w:t>CAN 基础应用层</w:t>
            </w:r>
          </w:p>
        </w:tc>
        <w:tc>
          <w:tcPr>
            <w:tcW w:w="3317" w:type="dxa"/>
          </w:tcPr>
          <w:p>
            <w:pPr>
              <w:pStyle w:val="21"/>
              <w:jc w:val="left"/>
            </w:pPr>
            <w:r>
              <w:t>软件</w:t>
            </w:r>
          </w:p>
        </w:tc>
      </w:tr>
      <w:tr>
        <w:tc>
          <w:tcPr>
            <w:tcW w:w="2836" w:type="dxa"/>
          </w:tcPr>
          <w:p>
            <w:pPr>
              <w:pStyle w:val="21"/>
              <w:jc w:val="left"/>
            </w:pPr>
            <w:r>
              <w:t>CAN 数据链路层</w:t>
            </w:r>
          </w:p>
        </w:tc>
        <w:tc>
          <w:tcPr>
            <w:tcW w:w="3317" w:type="dxa"/>
          </w:tcPr>
          <w:p>
            <w:pPr>
              <w:pStyle w:val="21"/>
              <w:jc w:val="left"/>
            </w:pPr>
            <w:r>
              <w:t>CAN 控制器</w:t>
            </w:r>
          </w:p>
        </w:tc>
      </w:tr>
      <w:tr>
        <w:tc>
          <w:tcPr>
            <w:tcW w:w="2836" w:type="dxa"/>
          </w:tcPr>
          <w:p>
            <w:pPr>
              <w:pStyle w:val="21"/>
              <w:jc w:val="left"/>
            </w:pPr>
            <w:r>
              <w:t>CAN 物理层</w:t>
            </w:r>
          </w:p>
        </w:tc>
        <w:tc>
          <w:tcPr>
            <w:tcW w:w="3317" w:type="dxa"/>
          </w:tcPr>
          <w:p>
            <w:pPr>
              <w:pStyle w:val="21"/>
              <w:jc w:val="left"/>
            </w:pPr>
            <w:r>
              <w:t>收发器</w:t>
            </w:r>
          </w:p>
        </w:tc>
      </w:tr>
    </w:tbl>
    <w:p>
      <w:pPr>
        <w:pStyle w:val="4"/>
      </w:pPr>
      <w:bookmarkStart w:id="7" w:name="header-c629"/>
      <w:bookmarkEnd w:id="7"/>
      <w:r>
        <w:t>32.5 I/O 总线简介</w:t>
      </w:r>
    </w:p>
    <w:p>
      <w:pPr>
        <w:pStyle w:val="20"/>
      </w:pPr>
      <w:r>
        <w:t>表 32-1, I/O 总线简介</w:t>
      </w:r>
    </w:p>
    <w:tbl>
      <w:tblPr>
        <w:tblStyle w:val="19"/>
        <w:tblW w:w="6553" w:type="dxa"/>
        <w:tblInd w:w="0" w:type="dxa"/>
        <w:tblLayout w:type="fixed"/>
        <w:tblCellMar>
          <w:top w:w="0" w:type="dxa"/>
          <w:left w:w="108" w:type="dxa"/>
          <w:bottom w:w="0" w:type="dxa"/>
          <w:right w:w="108" w:type="dxa"/>
        </w:tblCellMar>
      </w:tblPr>
      <w:tblGrid>
        <w:gridCol w:w="2169"/>
        <w:gridCol w:w="2384"/>
        <w:gridCol w:w="2000"/>
      </w:tblGrid>
      <w:tr>
        <w:tc>
          <w:tcPr>
            <w:tcW w:w="2169" w:type="dxa"/>
            <w:tcBorders>
              <w:bottom w:val="single" w:color="auto" w:sz="0" w:space="0"/>
            </w:tcBorders>
            <w:vAlign w:val="bottom"/>
          </w:tcPr>
          <w:p>
            <w:pPr>
              <w:pStyle w:val="21"/>
              <w:jc w:val="left"/>
            </w:pPr>
            <w:r>
              <w:t>名称</w:t>
            </w:r>
          </w:p>
        </w:tc>
        <w:tc>
          <w:tcPr>
            <w:tcW w:w="2384" w:type="dxa"/>
            <w:tcBorders>
              <w:bottom w:val="single" w:color="auto" w:sz="0" w:space="0"/>
            </w:tcBorders>
            <w:vAlign w:val="bottom"/>
          </w:tcPr>
          <w:p>
            <w:pPr>
              <w:pStyle w:val="21"/>
              <w:jc w:val="left"/>
            </w:pPr>
            <w:r>
              <w:t>描述</w:t>
            </w:r>
          </w:p>
        </w:tc>
        <w:tc>
          <w:tcPr>
            <w:tcW w:w="2000" w:type="dxa"/>
            <w:tcBorders>
              <w:bottom w:val="single" w:color="auto" w:sz="0" w:space="0"/>
            </w:tcBorders>
            <w:vAlign w:val="bottom"/>
          </w:tcPr>
          <w:p>
            <w:pPr>
              <w:pStyle w:val="21"/>
              <w:jc w:val="left"/>
            </w:pPr>
            <w:r>
              <w:t>类型</w:t>
            </w:r>
          </w:p>
        </w:tc>
      </w:tr>
      <w:tr>
        <w:tc>
          <w:tcPr>
            <w:tcW w:w="2169" w:type="dxa"/>
          </w:tcPr>
          <w:p>
            <w:pPr>
              <w:pStyle w:val="21"/>
              <w:jc w:val="left"/>
            </w:pPr>
            <w:r>
              <w:t>CANRX</w:t>
            </w:r>
          </w:p>
        </w:tc>
        <w:tc>
          <w:tcPr>
            <w:tcW w:w="2384" w:type="dxa"/>
          </w:tcPr>
          <w:p>
            <w:pPr>
              <w:pStyle w:val="21"/>
              <w:jc w:val="left"/>
            </w:pPr>
            <w:r>
              <w:t>CAN 串行接收数据</w:t>
            </w:r>
          </w:p>
        </w:tc>
        <w:tc>
          <w:tcPr>
            <w:tcW w:w="2000" w:type="dxa"/>
          </w:tcPr>
          <w:p>
            <w:pPr>
              <w:pStyle w:val="21"/>
              <w:jc w:val="left"/>
            </w:pPr>
            <w:r>
              <w:t>输入</w:t>
            </w:r>
          </w:p>
        </w:tc>
      </w:tr>
      <w:tr>
        <w:tc>
          <w:tcPr>
            <w:tcW w:w="2169" w:type="dxa"/>
          </w:tcPr>
          <w:p>
            <w:pPr>
              <w:pStyle w:val="21"/>
              <w:jc w:val="left"/>
            </w:pPr>
            <w:r>
              <w:t>CANTX</w:t>
            </w:r>
          </w:p>
        </w:tc>
        <w:tc>
          <w:tcPr>
            <w:tcW w:w="2384" w:type="dxa"/>
          </w:tcPr>
          <w:p>
            <w:pPr>
              <w:pStyle w:val="21"/>
              <w:jc w:val="left"/>
            </w:pPr>
            <w:r>
              <w:t>CAN 串行发送数据</w:t>
            </w:r>
          </w:p>
        </w:tc>
        <w:tc>
          <w:tcPr>
            <w:tcW w:w="2000" w:type="dxa"/>
          </w:tcPr>
          <w:p>
            <w:pPr>
              <w:pStyle w:val="21"/>
              <w:jc w:val="left"/>
            </w:pPr>
            <w:r>
              <w:t>输出</w:t>
            </w:r>
          </w:p>
        </w:tc>
      </w:tr>
    </w:tbl>
    <w:p>
      <w:pPr>
        <w:pStyle w:val="4"/>
      </w:pPr>
      <w:bookmarkStart w:id="8" w:name="header-c645"/>
      <w:bookmarkEnd w:id="8"/>
      <w:r>
        <w:t>32.6 产品依赖</w:t>
      </w:r>
    </w:p>
    <w:p>
      <w:pPr>
        <w:pStyle w:val="5"/>
      </w:pPr>
      <w:bookmarkStart w:id="9" w:name="header-c646"/>
      <w:bookmarkEnd w:id="9"/>
      <w:r>
        <w:t>32.6.1 I/O 总线</w:t>
      </w:r>
    </w:p>
    <w:p>
      <w:pPr>
        <w:pStyle w:val="20"/>
      </w:pPr>
      <w:r>
        <w:t>使用于 CAN 接口的插槽可能是多路复用的 PIO 线。程序员必须首先编写 PIO 控制器程序将外部设备赋值给他们期望的 CAN 插槽。如果应用没有使用 CAN 的 I/O 总线，它们也能被用于其他用于的 PIO 控制器。</w:t>
      </w:r>
    </w:p>
    <w:p>
      <w:pPr>
        <w:pStyle w:val="3"/>
      </w:pPr>
      <w:r>
        <w:t>表 32-2, I/O 总线</w:t>
      </w:r>
    </w:p>
    <w:tbl>
      <w:tblPr>
        <w:tblStyle w:val="19"/>
        <w:tblW w:w="7703" w:type="dxa"/>
        <w:tblInd w:w="0" w:type="dxa"/>
        <w:tblLayout w:type="fixed"/>
        <w:tblCellMar>
          <w:top w:w="0" w:type="dxa"/>
          <w:left w:w="108" w:type="dxa"/>
          <w:bottom w:w="0" w:type="dxa"/>
          <w:right w:w="108" w:type="dxa"/>
        </w:tblCellMar>
      </w:tblPr>
      <w:tblGrid>
        <w:gridCol w:w="1636"/>
        <w:gridCol w:w="1900"/>
        <w:gridCol w:w="2133"/>
        <w:gridCol w:w="2034"/>
      </w:tblGrid>
      <w:tr>
        <w:tc>
          <w:tcPr>
            <w:tcW w:w="1636" w:type="dxa"/>
            <w:tcBorders>
              <w:bottom w:val="single" w:color="auto" w:sz="0" w:space="0"/>
            </w:tcBorders>
            <w:vAlign w:val="bottom"/>
          </w:tcPr>
          <w:p>
            <w:pPr>
              <w:pStyle w:val="21"/>
              <w:jc w:val="left"/>
            </w:pPr>
            <w:r>
              <w:t>实例</w:t>
            </w:r>
          </w:p>
        </w:tc>
        <w:tc>
          <w:tcPr>
            <w:tcW w:w="1900" w:type="dxa"/>
            <w:tcBorders>
              <w:bottom w:val="single" w:color="auto" w:sz="0" w:space="0"/>
            </w:tcBorders>
            <w:vAlign w:val="bottom"/>
          </w:tcPr>
          <w:p>
            <w:pPr>
              <w:pStyle w:val="21"/>
              <w:jc w:val="left"/>
            </w:pPr>
            <w:r>
              <w:t>标识符</w:t>
            </w:r>
          </w:p>
        </w:tc>
        <w:tc>
          <w:tcPr>
            <w:tcW w:w="2133" w:type="dxa"/>
            <w:tcBorders>
              <w:bottom w:val="single" w:color="auto" w:sz="0" w:space="0"/>
            </w:tcBorders>
            <w:vAlign w:val="bottom"/>
          </w:tcPr>
          <w:p>
            <w:pPr>
              <w:pStyle w:val="21"/>
              <w:jc w:val="left"/>
            </w:pPr>
            <w:r>
              <w:t>I/O 总线</w:t>
            </w:r>
          </w:p>
        </w:tc>
        <w:tc>
          <w:tcPr>
            <w:tcW w:w="2034" w:type="dxa"/>
            <w:tcBorders>
              <w:bottom w:val="single" w:color="auto" w:sz="0" w:space="0"/>
            </w:tcBorders>
            <w:vAlign w:val="bottom"/>
          </w:tcPr>
          <w:p>
            <w:pPr>
              <w:pStyle w:val="21"/>
              <w:jc w:val="left"/>
            </w:pPr>
            <w:r>
              <w:t>外设</w:t>
            </w:r>
          </w:p>
        </w:tc>
      </w:tr>
      <w:tr>
        <w:tc>
          <w:tcPr>
            <w:tcW w:w="1636" w:type="dxa"/>
          </w:tcPr>
          <w:p>
            <w:pPr>
              <w:pStyle w:val="21"/>
              <w:jc w:val="left"/>
            </w:pPr>
            <w:r>
              <w:t>CAN0</w:t>
            </w:r>
          </w:p>
        </w:tc>
        <w:tc>
          <w:tcPr>
            <w:tcW w:w="1900" w:type="dxa"/>
          </w:tcPr>
          <w:p>
            <w:pPr>
              <w:pStyle w:val="21"/>
              <w:jc w:val="left"/>
            </w:pPr>
            <w:r>
              <w:t>CANRX0</w:t>
            </w:r>
          </w:p>
        </w:tc>
        <w:tc>
          <w:tcPr>
            <w:tcW w:w="2133" w:type="dxa"/>
          </w:tcPr>
          <w:p>
            <w:pPr>
              <w:pStyle w:val="21"/>
              <w:jc w:val="left"/>
            </w:pPr>
            <w:r>
              <w:t>PB３</w:t>
            </w:r>
          </w:p>
        </w:tc>
        <w:tc>
          <w:tcPr>
            <w:tcW w:w="2034" w:type="dxa"/>
          </w:tcPr>
          <w:p>
            <w:pPr>
              <w:pStyle w:val="21"/>
              <w:jc w:val="left"/>
            </w:pPr>
            <w:r>
              <w:t>A</w:t>
            </w:r>
          </w:p>
        </w:tc>
      </w:tr>
      <w:tr>
        <w:tc>
          <w:tcPr>
            <w:tcW w:w="1636" w:type="dxa"/>
          </w:tcPr>
          <w:p>
            <w:pPr>
              <w:pStyle w:val="21"/>
              <w:jc w:val="left"/>
            </w:pPr>
            <w:r>
              <w:t>CAN0</w:t>
            </w:r>
          </w:p>
        </w:tc>
        <w:tc>
          <w:tcPr>
            <w:tcW w:w="1900" w:type="dxa"/>
          </w:tcPr>
          <w:p>
            <w:pPr>
              <w:pStyle w:val="21"/>
              <w:jc w:val="left"/>
            </w:pPr>
            <w:r>
              <w:t>CANRX0</w:t>
            </w:r>
          </w:p>
        </w:tc>
        <w:tc>
          <w:tcPr>
            <w:tcW w:w="2133" w:type="dxa"/>
          </w:tcPr>
          <w:p>
            <w:pPr>
              <w:pStyle w:val="21"/>
              <w:jc w:val="left"/>
            </w:pPr>
            <w:r>
              <w:t>PB３</w:t>
            </w:r>
          </w:p>
        </w:tc>
        <w:tc>
          <w:tcPr>
            <w:tcW w:w="2034" w:type="dxa"/>
          </w:tcPr>
          <w:p>
            <w:pPr>
              <w:pStyle w:val="21"/>
              <w:jc w:val="left"/>
            </w:pPr>
            <w:r>
              <w:t>A</w:t>
            </w:r>
          </w:p>
        </w:tc>
      </w:tr>
      <w:tr>
        <w:tc>
          <w:tcPr>
            <w:tcW w:w="1636" w:type="dxa"/>
          </w:tcPr>
          <w:p>
            <w:pPr>
              <w:pStyle w:val="21"/>
              <w:jc w:val="left"/>
            </w:pPr>
            <w:r>
              <w:t>CAN1</w:t>
            </w:r>
          </w:p>
        </w:tc>
        <w:tc>
          <w:tcPr>
            <w:tcW w:w="1900" w:type="dxa"/>
          </w:tcPr>
          <w:p>
            <w:pPr>
              <w:pStyle w:val="21"/>
              <w:jc w:val="left"/>
            </w:pPr>
            <w:r>
              <w:t>CANRX1</w:t>
            </w:r>
          </w:p>
        </w:tc>
        <w:tc>
          <w:tcPr>
            <w:tcW w:w="2133" w:type="dxa"/>
          </w:tcPr>
          <w:p>
            <w:pPr>
              <w:pStyle w:val="21"/>
              <w:jc w:val="left"/>
            </w:pPr>
            <w:r>
              <w:t>PC12</w:t>
            </w:r>
          </w:p>
        </w:tc>
        <w:tc>
          <w:tcPr>
            <w:tcW w:w="2034" w:type="dxa"/>
          </w:tcPr>
          <w:p>
            <w:pPr>
              <w:pStyle w:val="21"/>
              <w:jc w:val="left"/>
            </w:pPr>
            <w:r>
              <w:t>C</w:t>
            </w:r>
          </w:p>
        </w:tc>
      </w:tr>
      <w:tr>
        <w:tc>
          <w:tcPr>
            <w:tcW w:w="1636" w:type="dxa"/>
          </w:tcPr>
          <w:p>
            <w:pPr>
              <w:pStyle w:val="21"/>
              <w:jc w:val="left"/>
            </w:pPr>
            <w:r>
              <w:t>CAN1</w:t>
            </w:r>
          </w:p>
        </w:tc>
        <w:tc>
          <w:tcPr>
            <w:tcW w:w="1900" w:type="dxa"/>
          </w:tcPr>
          <w:p>
            <w:pPr>
              <w:pStyle w:val="21"/>
              <w:jc w:val="left"/>
            </w:pPr>
            <w:r>
              <w:t>CANRX1</w:t>
            </w:r>
          </w:p>
        </w:tc>
        <w:tc>
          <w:tcPr>
            <w:tcW w:w="2133" w:type="dxa"/>
          </w:tcPr>
          <w:p>
            <w:pPr>
              <w:pStyle w:val="21"/>
              <w:jc w:val="left"/>
            </w:pPr>
            <w:r>
              <w:t>PC15</w:t>
            </w:r>
          </w:p>
        </w:tc>
        <w:tc>
          <w:tcPr>
            <w:tcW w:w="2034" w:type="dxa"/>
          </w:tcPr>
          <w:p>
            <w:pPr>
              <w:pStyle w:val="21"/>
              <w:jc w:val="left"/>
            </w:pPr>
            <w:r>
              <w:t>C</w:t>
            </w:r>
          </w:p>
        </w:tc>
      </w:tr>
    </w:tbl>
    <w:p>
      <w:pPr>
        <w:pStyle w:val="5"/>
      </w:pPr>
      <w:bookmarkStart w:id="10" w:name="header-c677"/>
      <w:bookmarkEnd w:id="10"/>
      <w:r>
        <w:t>32.6.2 资源管理器</w:t>
      </w:r>
    </w:p>
    <w:p>
      <w:pPr>
        <w:pStyle w:val="20"/>
      </w:pPr>
      <w:r>
        <w:t>程序员在使用 CAN 之前必须首先在资源管理器控制器中开启 CAN 锁</w:t>
      </w:r>
    </w:p>
    <w:p>
      <w:pPr>
        <w:pStyle w:val="3"/>
      </w:pPr>
      <w:r>
        <w:t>为 CAN 定义了低功耗模式。如果应用不需要 CAN 运算，当不需要时 CAN 锁能被停，并且 稍后 CAN 锁能被重启。在关闭 CAN 锁之前，CAN 控制器必须处于低功耗模式下去完成 CAN 锁状态的切换。CAN 锁在重启之后，应用必须禁止 CAN 控制器的低功耗模式。</w:t>
      </w:r>
    </w:p>
    <w:p>
      <w:pPr>
        <w:pStyle w:val="5"/>
      </w:pPr>
      <w:bookmarkStart w:id="11" w:name="header-c682"/>
      <w:bookmarkEnd w:id="11"/>
      <w:r>
        <w:t>32.6.3 中断资源</w:t>
      </w:r>
    </w:p>
    <w:p>
      <w:pPr>
        <w:pStyle w:val="20"/>
      </w:pPr>
      <w:r>
        <w:t>CAN 中段线被连接在一个内部高级终端控制器的内部资源上。使用 CAN 中断需求时中断控制器必须首先被编程。注意：不建议在边缘敏感模式下使用 CAN 中断线。</w:t>
      </w:r>
    </w:p>
    <w:p>
      <w:pPr>
        <w:pStyle w:val="3"/>
      </w:pPr>
      <w:r>
        <w:t>表 32-3 外设 ID</w:t>
      </w:r>
    </w:p>
    <w:tbl>
      <w:tblPr>
        <w:tblStyle w:val="19"/>
        <w:tblW w:w="5536" w:type="dxa"/>
        <w:tblInd w:w="0" w:type="dxa"/>
        <w:tblLayout w:type="fixed"/>
        <w:tblCellMar>
          <w:top w:w="0" w:type="dxa"/>
          <w:left w:w="108" w:type="dxa"/>
          <w:bottom w:w="0" w:type="dxa"/>
          <w:right w:w="108" w:type="dxa"/>
        </w:tblCellMar>
      </w:tblPr>
      <w:tblGrid>
        <w:gridCol w:w="2619"/>
        <w:gridCol w:w="2917"/>
      </w:tblGrid>
      <w:tr>
        <w:tc>
          <w:tcPr>
            <w:tcW w:w="2619" w:type="dxa"/>
            <w:tcBorders>
              <w:bottom w:val="single" w:color="auto" w:sz="0" w:space="0"/>
            </w:tcBorders>
            <w:vAlign w:val="bottom"/>
          </w:tcPr>
          <w:p>
            <w:pPr>
              <w:pStyle w:val="21"/>
              <w:jc w:val="left"/>
            </w:pPr>
            <w:r>
              <w:t>实例</w:t>
            </w:r>
          </w:p>
        </w:tc>
        <w:tc>
          <w:tcPr>
            <w:tcW w:w="2917" w:type="dxa"/>
            <w:tcBorders>
              <w:bottom w:val="single" w:color="auto" w:sz="0" w:space="0"/>
            </w:tcBorders>
            <w:vAlign w:val="bottom"/>
          </w:tcPr>
          <w:p>
            <w:pPr>
              <w:pStyle w:val="21"/>
              <w:jc w:val="left"/>
            </w:pPr>
            <w:r>
              <w:t>ID</w:t>
            </w:r>
          </w:p>
        </w:tc>
      </w:tr>
      <w:tr>
        <w:tc>
          <w:tcPr>
            <w:tcW w:w="2619" w:type="dxa"/>
          </w:tcPr>
          <w:p>
            <w:pPr>
              <w:pStyle w:val="21"/>
              <w:jc w:val="left"/>
            </w:pPr>
            <w:r>
              <w:t>CAN0</w:t>
            </w:r>
          </w:p>
        </w:tc>
        <w:tc>
          <w:tcPr>
            <w:tcW w:w="2917" w:type="dxa"/>
          </w:tcPr>
          <w:p>
            <w:pPr>
              <w:pStyle w:val="21"/>
              <w:jc w:val="left"/>
            </w:pPr>
            <w:r>
              <w:t>37</w:t>
            </w:r>
          </w:p>
        </w:tc>
      </w:tr>
      <w:tr>
        <w:tc>
          <w:tcPr>
            <w:tcW w:w="2619" w:type="dxa"/>
          </w:tcPr>
          <w:p>
            <w:pPr>
              <w:pStyle w:val="21"/>
              <w:jc w:val="left"/>
            </w:pPr>
            <w:r>
              <w:t>CAN1</w:t>
            </w:r>
          </w:p>
        </w:tc>
        <w:tc>
          <w:tcPr>
            <w:tcW w:w="2917" w:type="dxa"/>
          </w:tcPr>
          <w:p>
            <w:pPr>
              <w:pStyle w:val="21"/>
              <w:jc w:val="left"/>
            </w:pPr>
            <w:r>
              <w:t>38</w:t>
            </w:r>
          </w:p>
        </w:tc>
      </w:tr>
    </w:tbl>
    <w:p>
      <w:pPr>
        <w:pStyle w:val="4"/>
      </w:pPr>
      <w:bookmarkStart w:id="12" w:name="header-c697"/>
      <w:bookmarkEnd w:id="12"/>
      <w:r>
        <w:t>32.7 CAN 控制器的特色</w:t>
      </w:r>
    </w:p>
    <w:p>
      <w:pPr>
        <w:pStyle w:val="5"/>
      </w:pPr>
      <w:bookmarkStart w:id="13" w:name="header-c698"/>
      <w:bookmarkEnd w:id="13"/>
      <w:r>
        <w:t>32.7.1 CAN 协议概述</w:t>
      </w:r>
    </w:p>
    <w:p>
      <w:pPr>
        <w:pStyle w:val="20"/>
      </w:pPr>
      <w:r>
        <w:t>控制器局域网络（CAN）是一个多主串行通信协议，以非常高的安全性和极高的传输速度（比特率高达 1Mbit/s）有效地支持实时控制。</w:t>
      </w:r>
    </w:p>
    <w:p>
      <w:pPr>
        <w:pStyle w:val="3"/>
      </w:pPr>
      <w:r>
        <w:t>CAN 协议支持四种不同类型的帧：</w:t>
      </w:r>
    </w:p>
    <w:p>
      <w:pPr>
        <w:numPr>
          <w:ilvl w:val="0"/>
          <w:numId w:val="1"/>
        </w:numPr>
        <w:tabs>
          <w:tab w:val="left" w:pos="0"/>
        </w:tabs>
      </w:pPr>
      <w:r>
        <w:t>数据帧：他们携带数据从发射机节点到接收器节点。整体的最大数据帧长度为 108 位的标准帧和 128 位扩展帧。</w:t>
      </w:r>
    </w:p>
    <w:p>
      <w:pPr>
        <w:numPr>
          <w:ilvl w:val="0"/>
          <w:numId w:val="1"/>
        </w:numPr>
        <w:tabs>
          <w:tab w:val="left" w:pos="0"/>
        </w:tabs>
      </w:pPr>
      <w:r>
        <w:t>远程帧：目标节点可以通过发送与所需数据帧标识符一致的标识符发送远程帧来请求数据。然后适当的数据源节点发送数据帧作为此节点请求的响应。</w:t>
      </w:r>
    </w:p>
    <w:p>
      <w:pPr>
        <w:numPr>
          <w:ilvl w:val="0"/>
          <w:numId w:val="1"/>
        </w:numPr>
        <w:tabs>
          <w:tab w:val="left" w:pos="0"/>
        </w:tabs>
      </w:pPr>
      <w:r>
        <w:t>错误帧：由检测总线错误的任何节点生成错误帧。</w:t>
      </w:r>
    </w:p>
    <w:p>
      <w:pPr>
        <w:numPr>
          <w:ilvl w:val="0"/>
          <w:numId w:val="1"/>
        </w:numPr>
        <w:tabs>
          <w:tab w:val="left" w:pos="0"/>
        </w:tabs>
      </w:pPr>
      <w:r>
        <w:t>过载帧：它们提供了前和连续数据帧或远程帧之间的额外延迟。</w:t>
      </w:r>
    </w:p>
    <w:p>
      <w:pPr>
        <w:pStyle w:val="20"/>
      </w:pPr>
      <w:r>
        <w:t>爱特梅尔 CAN 控制器提供 CAN 协议第二版 A 部分和 第二版 B 部分的全功能的 CPU。它最大限制的减少了 CPU 的通信开销。数据链路层和物理层的一部分由 CAN 控制器本身自动处理。</w:t>
      </w:r>
    </w:p>
    <w:p>
      <w:pPr>
        <w:pStyle w:val="3"/>
      </w:pPr>
      <w:r>
        <w:t>CPU 通过 CAN 控制器的消息盒读写数据或信息。每一个消息和被赋予一个标识符。CAN 控制器通过封装或解码数据消息去生成或解码总线数据帧。远程帧，错误帧和过载帧被在用户软件应用监视下的 CAN 控制器自动处理。</w:t>
      </w:r>
    </w:p>
    <w:p>
      <w:pPr>
        <w:pStyle w:val="5"/>
      </w:pPr>
      <w:bookmarkStart w:id="14" w:name="header-c720"/>
      <w:bookmarkEnd w:id="14"/>
      <w:r>
        <w:t>32.7.2 邮箱的组织</w:t>
      </w:r>
    </w:p>
    <w:p>
      <w:pPr>
        <w:pStyle w:val="20"/>
      </w:pPr>
      <w:r>
        <w:t>CAN 模块有 8 个缓冲区，也被叫做频道或者邮箱。为每个活动邮箱定义对应于CAN标识符的标识符。消息标识符可以与标准帧标识符或扩展帧标识符匹配。此标识符在初始化过程中第一次被定义，但稍后可以动态重新配置，以便邮箱可以处理新的消息族。几个邮箱可以配置相同的ID。</w:t>
      </w:r>
    </w:p>
    <w:p>
      <w:pPr>
        <w:pStyle w:val="3"/>
      </w:pPr>
      <w:r>
        <w:t>每个邮箱都能独立的被配置为接收或传送模式，邮箱对象的类型在 CAN_MMRx 的 MOT 字段。</w:t>
      </w:r>
    </w:p>
    <w:p>
      <w:pPr>
        <w:pStyle w:val="6"/>
      </w:pPr>
      <w:bookmarkStart w:id="15" w:name="header-c725"/>
      <w:bookmarkEnd w:id="15"/>
      <w:r>
        <w:t>32.7.2.1 信息接受过程</w:t>
      </w:r>
    </w:p>
    <w:p>
      <w:pPr>
        <w:pStyle w:val="20"/>
      </w:pPr>
      <w:r>
        <w:t>如果将 CAN_MIDx 寄存器设置为 MIDE 类型，邮箱就能处理额外定义的格式；否则，邮箱只能处理标准格式。一旦一个消息被接收，那么它 ID 将被 CAN_MAMx 的值或者准备的 CAN_MIDx 的值掩盖。如果被接受，消息的 ID 将被复制到 CAN_MIDx 寄存器。</w:t>
      </w:r>
    </w:p>
    <w:p>
      <w:pPr>
        <w:pStyle w:val="3"/>
      </w:pPr>
      <w:r>
        <w:t>图 32-3 信息接受过程</w:t>
      </w:r>
    </w:p>
    <w:p>
      <w:pPr>
        <w:pStyle w:val="30"/>
      </w:pPr>
      <w:r>
        <w:drawing>
          <wp:inline distT="0" distB="0" distL="114300" distR="114300">
            <wp:extent cx="4749800" cy="3175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749800" cy="3175000"/>
                    </a:xfrm>
                    <a:prstGeom prst="rect">
                      <a:avLst/>
                    </a:prstGeom>
                    <a:noFill/>
                    <a:ln w="9525">
                      <a:noFill/>
                    </a:ln>
                  </pic:spPr>
                </pic:pic>
              </a:graphicData>
            </a:graphic>
          </wp:inline>
        </w:drawing>
      </w:r>
    </w:p>
    <w:p>
      <w:pPr>
        <w:pStyle w:val="28"/>
      </w:pPr>
    </w:p>
    <w:p>
      <w:pPr>
        <w:pStyle w:val="3"/>
      </w:pPr>
      <w:r>
        <w:t>如果一个邮箱是专门接收一个族有着不同 ID 的多个消息，定义在 CAN_MAMx 寄存器的验收掩码必须被掩藏在 ID 族的变量部分。一旦消息被接收，应用必须编码在 CAN_MIDs 寄存器的掩码位。为了高速的解码，掩码位被分为不同的 DI 族（CAN_MEIDx）。</w:t>
      </w:r>
    </w:p>
    <w:p>
      <w:pPr>
        <w:pStyle w:val="3"/>
      </w:pPr>
      <w:r>
        <w:t>下面是一组消息 ID 被同一个邮箱处理的例子：</w:t>
      </w:r>
    </w:p>
    <w:p>
      <w:pPr>
        <w:pStyle w:val="32"/>
      </w:pPr>
      <w:r>
        <w:rPr>
          <w:rStyle w:val="31"/>
        </w:rPr>
        <w:t>ID0 101000100100010010000100 0 11 00b</w:t>
      </w:r>
      <w:r>
        <w:br w:type="textWrapping"/>
      </w:r>
      <w:r>
        <w:rPr>
          <w:rStyle w:val="31"/>
        </w:rPr>
        <w:t>ID1 101000100100010010000100 0 11 01b</w:t>
      </w:r>
      <w:r>
        <w:br w:type="textWrapping"/>
      </w:r>
      <w:r>
        <w:rPr>
          <w:rStyle w:val="31"/>
        </w:rPr>
        <w:t>ID2 101000100100010010000100 0 11 10b</w:t>
      </w:r>
      <w:r>
        <w:br w:type="textWrapping"/>
      </w:r>
      <w:r>
        <w:rPr>
          <w:rStyle w:val="31"/>
        </w:rPr>
        <w:t>ID3 101000100100010010000100 0 11 11b</w:t>
      </w:r>
      <w:r>
        <w:br w:type="textWrapping"/>
      </w:r>
      <w:r>
        <w:rPr>
          <w:rStyle w:val="31"/>
        </w:rPr>
        <w:t>ID4 101000100100010010000100 1 11 00b</w:t>
      </w:r>
      <w:r>
        <w:br w:type="textWrapping"/>
      </w:r>
      <w:r>
        <w:rPr>
          <w:rStyle w:val="31"/>
        </w:rPr>
        <w:t>ID5 101000100100010010000100 1 11 01b</w:t>
      </w:r>
      <w:r>
        <w:br w:type="textWrapping"/>
      </w:r>
      <w:r>
        <w:rPr>
          <w:rStyle w:val="31"/>
        </w:rPr>
        <w:t>ID6 101000100100010010000100 1 11 10b</w:t>
      </w:r>
      <w:r>
        <w:br w:type="textWrapping"/>
      </w:r>
      <w:r>
        <w:rPr>
          <w:rStyle w:val="31"/>
        </w:rPr>
        <w:t>ID7 101000100100010010000100 1 11 11b</w:t>
      </w:r>
    </w:p>
    <w:p>
      <w:pPr>
        <w:pStyle w:val="20"/>
      </w:pPr>
      <w:r>
        <w:t>邮箱 x 的 CAN_MIDx 和 CAN_MAMx 必须被初始化为相应的值：</w:t>
      </w:r>
    </w:p>
    <w:p>
      <w:pPr>
        <w:pStyle w:val="32"/>
      </w:pPr>
      <w:r>
        <w:rPr>
          <w:rStyle w:val="31"/>
        </w:rPr>
        <w:t>CAN_MIDx = 001 101000100100010010000100 x 11 xxb</w:t>
      </w:r>
      <w:r>
        <w:br w:type="textWrapping"/>
      </w:r>
      <w:r>
        <w:rPr>
          <w:rStyle w:val="31"/>
        </w:rPr>
        <w:t>CAN_MAMx = 001 111111111111111111111111 0 11 00b</w:t>
      </w:r>
    </w:p>
    <w:p>
      <w:pPr>
        <w:pStyle w:val="20"/>
      </w:pPr>
      <w:r>
        <w:t>如果邮箱 x 接收 ID6 的消息，那么 CAN_MIDx 和 CAN_MFIDx 将被置为：</w:t>
      </w:r>
    </w:p>
    <w:p>
      <w:pPr>
        <w:pStyle w:val="32"/>
      </w:pPr>
      <w:r>
        <w:rPr>
          <w:rStyle w:val="31"/>
        </w:rPr>
        <w:t>CAN_MIDx = 001 101000100100010010000100 1 11 10b</w:t>
      </w:r>
      <w:r>
        <w:br w:type="textWrapping"/>
      </w:r>
      <w:r>
        <w:rPr>
          <w:rStyle w:val="31"/>
        </w:rPr>
        <w:t>CAN_MFIDx = 00000000000000000000000000000110b</w:t>
      </w:r>
    </w:p>
    <w:p>
      <w:pPr>
        <w:pStyle w:val="20"/>
      </w:pPr>
      <w:r>
        <w:t>如果应用程序为每个消息关联处理程序，它可能定义一个指向相应处理行数的数组指针：</w:t>
      </w:r>
    </w:p>
    <w:p>
      <w:pPr>
        <w:pStyle w:val="32"/>
      </w:pPr>
      <w:r>
        <w:rPr>
          <w:rStyle w:val="31"/>
        </w:rPr>
        <w:t>void (*pHandler[8])(void);</w:t>
      </w:r>
    </w:p>
    <w:p>
      <w:pPr>
        <w:pStyle w:val="20"/>
      </w:pPr>
      <w:r>
        <w:t>当一个消息被接收，相应的处理程序可以挂载在 CAN_MFIDx 寄存器，并且不需要检查掩码位：</w:t>
      </w:r>
    </w:p>
    <w:p>
      <w:pPr>
        <w:pStyle w:val="32"/>
      </w:pPr>
      <w:r>
        <w:rPr>
          <w:rStyle w:val="31"/>
        </w:rPr>
        <w:t>unsigned int MFID0_register;</w:t>
      </w:r>
      <w:r>
        <w:br w:type="textWrapping"/>
      </w:r>
      <w:r>
        <w:rPr>
          <w:rStyle w:val="31"/>
        </w:rPr>
        <w:t>MFID0_register = Get_CAN_MFID0_Register();</w:t>
      </w:r>
      <w:r>
        <w:br w:type="textWrapping"/>
      </w:r>
      <w:r>
        <w:rPr>
          <w:rStyle w:val="31"/>
        </w:rPr>
        <w:t>// Get_CAN_MFID0_Register() returns the value of the CAN_MFID0 register</w:t>
      </w:r>
      <w:r>
        <w:br w:type="textWrapping"/>
      </w:r>
      <w:r>
        <w:rPr>
          <w:rStyle w:val="31"/>
        </w:rPr>
        <w:t>pHandler[MFID0_register]();</w:t>
      </w:r>
    </w:p>
    <w:p>
      <w:pPr>
        <w:pStyle w:val="6"/>
      </w:pPr>
      <w:bookmarkStart w:id="16" w:name="header-c749"/>
      <w:bookmarkEnd w:id="16"/>
      <w:r>
        <w:t>32.7.2.2 接收邮箱</w:t>
      </w:r>
    </w:p>
    <w:p>
      <w:pPr>
        <w:pStyle w:val="20"/>
      </w:pPr>
      <w:r>
        <w:t>当 CAN 模块接收一个消息时，它首先会寻找编号最小的那个邮箱和准备用于接收消息的邮箱。如果发现了这样的邮箱，消息将会被存储在它的数据寄存器中。根据配置，只要消息没有被应用程序接收（仅仅接收），或者，如果一个接收了一个相同的消息，那么它就会复写以前的消息（接收与复写）,最终邮箱会被禁用。</w:t>
      </w:r>
    </w:p>
    <w:p>
      <w:pPr>
        <w:pStyle w:val="3"/>
      </w:pPr>
      <w:r>
        <w:t>邮箱也可以被配置为消费者模式，在这个模式下，每发送一个请求之后，一个远程帧被自动发送。收到的第一个答案被存储在相应的邮箱数据寄存器。</w:t>
      </w:r>
    </w:p>
    <w:p>
      <w:pPr>
        <w:pStyle w:val="3"/>
      </w:pPr>
      <w:r>
        <w:t>多个邮箱可以被串联起来去接收缓冲区。它们在接收模式中必须被配置为相同的 ID，除了最后一个,它可以被配置为接收或复写模式。最后一个邮箱能被用来检测缓冲区溢出。</w:t>
      </w:r>
    </w:p>
    <w:tbl>
      <w:tblPr>
        <w:tblStyle w:val="19"/>
        <w:tblpPr w:leftFromText="180" w:rightFromText="180" w:vertAnchor="text" w:horzAnchor="page" w:tblpX="1787" w:tblpY="538"/>
        <w:tblOverlap w:val="never"/>
        <w:tblW w:w="8733" w:type="dxa"/>
        <w:tblInd w:w="0" w:type="dxa"/>
        <w:tblLayout w:type="fixed"/>
        <w:tblCellMar>
          <w:top w:w="0" w:type="dxa"/>
          <w:left w:w="108" w:type="dxa"/>
          <w:bottom w:w="0" w:type="dxa"/>
          <w:right w:w="108" w:type="dxa"/>
        </w:tblCellMar>
      </w:tblPr>
      <w:tblGrid>
        <w:gridCol w:w="1600"/>
        <w:gridCol w:w="7133"/>
      </w:tblGrid>
      <w:tr>
        <w:tc>
          <w:tcPr>
            <w:tcW w:w="1600" w:type="dxa"/>
            <w:tcBorders>
              <w:bottom w:val="single" w:color="auto" w:sz="0" w:space="0"/>
            </w:tcBorders>
            <w:vAlign w:val="bottom"/>
          </w:tcPr>
          <w:p>
            <w:pPr>
              <w:pStyle w:val="21"/>
              <w:jc w:val="left"/>
            </w:pPr>
            <w:r>
              <w:t>对象类型</w:t>
            </w:r>
          </w:p>
        </w:tc>
        <w:tc>
          <w:tcPr>
            <w:tcW w:w="7133" w:type="dxa"/>
            <w:tcBorders>
              <w:bottom w:val="single" w:color="auto" w:sz="0" w:space="0"/>
            </w:tcBorders>
            <w:vAlign w:val="bottom"/>
          </w:tcPr>
          <w:p>
            <w:pPr>
              <w:pStyle w:val="21"/>
              <w:jc w:val="left"/>
            </w:pPr>
            <w:r>
              <w:t>描述</w:t>
            </w:r>
          </w:p>
        </w:tc>
      </w:tr>
      <w:tr>
        <w:tc>
          <w:tcPr>
            <w:tcW w:w="1600" w:type="dxa"/>
          </w:tcPr>
          <w:p>
            <w:pPr>
              <w:pStyle w:val="21"/>
              <w:jc w:val="left"/>
            </w:pPr>
            <w:r>
              <w:t>接收</w:t>
            </w:r>
          </w:p>
        </w:tc>
        <w:tc>
          <w:tcPr>
            <w:tcW w:w="7133" w:type="dxa"/>
          </w:tcPr>
          <w:p>
            <w:pPr>
              <w:pStyle w:val="21"/>
              <w:jc w:val="left"/>
            </w:pPr>
            <w:r>
              <w:t>接收的第一个消息被存储在邮箱数据寄存器，数据保持可用直到下一个传输请求</w:t>
            </w:r>
          </w:p>
        </w:tc>
      </w:tr>
      <w:tr>
        <w:tc>
          <w:tcPr>
            <w:tcW w:w="1600" w:type="dxa"/>
          </w:tcPr>
          <w:p>
            <w:pPr>
              <w:pStyle w:val="21"/>
              <w:jc w:val="left"/>
            </w:pPr>
            <w:r>
              <w:t>接收与复写</w:t>
            </w:r>
          </w:p>
        </w:tc>
        <w:tc>
          <w:tcPr>
            <w:tcW w:w="7133" w:type="dxa"/>
          </w:tcPr>
          <w:p>
            <w:pPr>
              <w:pStyle w:val="21"/>
              <w:jc w:val="left"/>
            </w:pPr>
            <w:r>
              <w:t>接收到的最后一个消息被存储在邮箱数据寄存器，下一个消息一直复写前一个。应用可以检查一个新消息是否可以被当前从邮箱数据寄存器读取的消息复写</w:t>
            </w:r>
          </w:p>
        </w:tc>
      </w:tr>
      <w:tr>
        <w:tc>
          <w:tcPr>
            <w:tcW w:w="1600" w:type="dxa"/>
          </w:tcPr>
          <w:p>
            <w:pPr>
              <w:pStyle w:val="21"/>
              <w:jc w:val="left"/>
            </w:pPr>
            <w:r>
              <w:t>消费者</w:t>
            </w:r>
          </w:p>
        </w:tc>
        <w:tc>
          <w:tcPr>
            <w:tcW w:w="7133" w:type="dxa"/>
          </w:tcPr>
          <w:p>
            <w:pPr>
              <w:pStyle w:val="21"/>
              <w:jc w:val="left"/>
            </w:pPr>
            <w:r>
              <w:t>一个远程帧被邮箱发送。发送的答案被存储在邮箱数据寄存器。这扩展了接收邮箱的特性，数据保持可用知道下一次传输请求</w:t>
            </w:r>
          </w:p>
        </w:tc>
      </w:tr>
    </w:tbl>
    <w:p>
      <w:pPr>
        <w:pStyle w:val="3"/>
      </w:pPr>
      <w:r>
        <w:t>表 32-4 接收邮箱对象</w:t>
      </w:r>
    </w:p>
    <w:p>
      <w:pPr>
        <w:pStyle w:val="6"/>
      </w:pPr>
      <w:bookmarkStart w:id="17" w:name="header-c771"/>
      <w:bookmarkEnd w:id="17"/>
      <w:r>
        <w:t>32.7.2.3 传输邮箱</w:t>
      </w:r>
    </w:p>
    <w:p>
      <w:pPr>
        <w:pStyle w:val="20"/>
      </w:pPr>
      <w:r>
        <w:t>当传输一个消息时，消息的长度和数据以正确的格式被写入传输邮箱。每一个传输邮箱都有一个权重标识符。控制器首先会自动发送权重高的（在 CAN_MMRx 设置 PRIOR 字段）</w:t>
      </w:r>
    </w:p>
    <w:p>
      <w:pPr>
        <w:pStyle w:val="3"/>
      </w:pPr>
      <w:r>
        <w:t>也可以配置邮箱为生产者模式，在这种模式下，当一个远程帧被接收，邮箱数据会被自动发送。通过启用此模式，生产者可以只使用一个邮箱，而不是两个：一个检测远程帧和一个发送答案。</w:t>
      </w:r>
    </w:p>
    <w:p>
      <w:pPr>
        <w:pStyle w:val="3"/>
      </w:pPr>
      <w:r>
        <w:t>表 32-5 传输邮箱对象</w:t>
      </w:r>
    </w:p>
    <w:tbl>
      <w:tblPr>
        <w:tblStyle w:val="19"/>
        <w:tblW w:w="8736" w:type="dxa"/>
        <w:tblInd w:w="0" w:type="dxa"/>
        <w:tblLayout w:type="fixed"/>
        <w:tblCellMar>
          <w:top w:w="0" w:type="dxa"/>
          <w:left w:w="108" w:type="dxa"/>
          <w:bottom w:w="0" w:type="dxa"/>
          <w:right w:w="108" w:type="dxa"/>
        </w:tblCellMar>
      </w:tblPr>
      <w:tblGrid>
        <w:gridCol w:w="1486"/>
        <w:gridCol w:w="7250"/>
      </w:tblGrid>
      <w:tr>
        <w:tc>
          <w:tcPr>
            <w:tcW w:w="1486" w:type="dxa"/>
            <w:tcBorders>
              <w:bottom w:val="single" w:color="auto" w:sz="0" w:space="0"/>
            </w:tcBorders>
            <w:vAlign w:val="bottom"/>
          </w:tcPr>
          <w:p>
            <w:pPr>
              <w:pStyle w:val="21"/>
              <w:jc w:val="left"/>
            </w:pPr>
            <w:r>
              <w:t>对象类型</w:t>
            </w:r>
          </w:p>
        </w:tc>
        <w:tc>
          <w:tcPr>
            <w:tcW w:w="7250" w:type="dxa"/>
            <w:tcBorders>
              <w:bottom w:val="single" w:color="auto" w:sz="0" w:space="0"/>
            </w:tcBorders>
            <w:vAlign w:val="bottom"/>
          </w:tcPr>
          <w:p>
            <w:pPr>
              <w:pStyle w:val="21"/>
              <w:jc w:val="left"/>
            </w:pPr>
            <w:r>
              <w:t>描述</w:t>
            </w:r>
          </w:p>
        </w:tc>
      </w:tr>
      <w:tr>
        <w:tc>
          <w:tcPr>
            <w:tcW w:w="1486" w:type="dxa"/>
          </w:tcPr>
          <w:p>
            <w:pPr>
              <w:pStyle w:val="21"/>
              <w:jc w:val="left"/>
            </w:pPr>
            <w:r>
              <w:t>传输</w:t>
            </w:r>
          </w:p>
        </w:tc>
        <w:tc>
          <w:tcPr>
            <w:tcW w:w="7250" w:type="dxa"/>
          </w:tcPr>
          <w:p>
            <w:pPr>
              <w:pStyle w:val="21"/>
              <w:jc w:val="left"/>
            </w:pPr>
            <w:r>
              <w:t>存储在邮箱数据寄存器的消息将努力赢得总线仲裁</w:t>
            </w:r>
          </w:p>
        </w:tc>
      </w:tr>
      <w:tr>
        <w:tc>
          <w:tcPr>
            <w:tcW w:w="1486" w:type="dxa"/>
          </w:tcPr>
          <w:p>
            <w:pPr>
              <w:pStyle w:val="21"/>
              <w:jc w:val="left"/>
            </w:pPr>
            <w:r>
              <w:t>生产者</w:t>
            </w:r>
          </w:p>
        </w:tc>
        <w:tc>
          <w:tcPr>
            <w:tcW w:w="7250" w:type="dxa"/>
          </w:tcPr>
          <w:p>
            <w:pPr>
              <w:pStyle w:val="21"/>
              <w:jc w:val="left"/>
            </w:pPr>
            <w:r>
              <w:t>在邮箱数据寄存器中编写的消息将在接收下一个远程帧后发送。这扩展传输邮箱功能</w:t>
            </w:r>
          </w:p>
        </w:tc>
      </w:tr>
    </w:tbl>
    <w:p>
      <w:pPr>
        <w:pStyle w:val="10"/>
      </w:pPr>
      <w:bookmarkStart w:id="18" w:name="_GoBack"/>
      <w:bookmarkEnd w:id="18"/>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altName w:val="Ume P Gothic"/>
    <w:panose1 w:val="02000500000000000000"/>
    <w:charset w:val="02"/>
    <w:family w:val="auto"/>
    <w:pitch w:val="default"/>
    <w:sig w:usb0="00000000" w:usb1="00000000" w:usb2="00010000" w:usb3="00000000" w:csb0="80000000" w:csb1="00000000"/>
  </w:font>
  <w:font w:name="Courier New">
    <w:altName w:val="DejaVu Sans"/>
    <w:panose1 w:val="02070309020205020404"/>
    <w:charset w:val="00"/>
    <w:family w:val="auto"/>
    <w:pitch w:val="default"/>
    <w:sig w:usb0="00000000" w:usb1="00000000" w:usb2="00000000" w:usb3="00000000" w:csb0="00000001" w:csb1="00000000"/>
  </w:font>
  <w:font w:name="Wingdings">
    <w:altName w:val="Abyssinica SIL"/>
    <w:panose1 w:val="05020102010804080708"/>
    <w:charset w:val="02"/>
    <w:family w:val="auto"/>
    <w:pitch w:val="default"/>
    <w:sig w:usb0="00000000" w:usb1="00000000" w:usb2="00010000" w:usb3="00000000" w:csb0="80000000" w:csb1="00000000"/>
  </w:font>
  <w:font w:name="Arial">
    <w:altName w:val="DejaVu Sans"/>
    <w:panose1 w:val="020B0604020202020204"/>
    <w:charset w:val="00"/>
    <w:family w:val="auto"/>
    <w:pitch w:val="default"/>
    <w:sig w:usb0="00000000" w:usb1="00000000" w:usb2="00000000" w:usb3="00000000" w:csb0="00000001" w:csb1="00000000"/>
  </w:font>
  <w:font w:name="Consolas">
    <w:altName w:val="文泉驿微米黑"/>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文泉驿微米黑">
    <w:panose1 w:val="020B0606030804020204"/>
    <w:charset w:val="86"/>
    <w:family w:val="auto"/>
    <w:pitch w:val="default"/>
    <w:sig w:usb0="E10002EF" w:usb1="6BDFFCFB" w:usb2="00800036" w:usb3="00000000" w:csb0="603E019F" w:csb1="DFD7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Ume P Gothic">
    <w:panose1 w:val="02000600000000000000"/>
    <w:charset w:val="00"/>
    <w:family w:val="auto"/>
    <w:pitch w:val="default"/>
    <w:sig w:usb0="00000000" w:usb1="00000000" w:usb2="00000000" w:usb3="00000000" w:csb0="0001000D"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8796080">
    <w:nsid w:val="1E539CB0"/>
    <w:multiLevelType w:val="multilevel"/>
    <w:tmpl w:val="1E539CB0"/>
    <w:lvl w:ilvl="0" w:tentative="1">
      <w:start w:val="0"/>
      <w:numFmt w:val="bullet"/>
      <w:lvlText w:val="•"/>
      <w:lvlJc w:val="left"/>
      <w:pPr>
        <w:tabs>
          <w:tab w:val="left" w:pos="0"/>
        </w:tabs>
        <w:ind w:left="480" w:hanging="480"/>
      </w:pPr>
    </w:lvl>
    <w:lvl w:ilvl="1" w:tentative="1">
      <w:start w:val="0"/>
      <w:numFmt w:val="bullet"/>
      <w:lvlText w:val="–"/>
      <w:lvlJc w:val="left"/>
      <w:pPr>
        <w:tabs>
          <w:tab w:val="left" w:pos="720"/>
        </w:tabs>
        <w:ind w:left="1200" w:hanging="480"/>
      </w:pPr>
    </w:lvl>
    <w:lvl w:ilvl="2" w:tentative="1">
      <w:start w:val="0"/>
      <w:numFmt w:val="bullet"/>
      <w:lvlText w:val="•"/>
      <w:lvlJc w:val="left"/>
      <w:pPr>
        <w:tabs>
          <w:tab w:val="left" w:pos="1440"/>
        </w:tabs>
        <w:ind w:left="1920" w:hanging="480"/>
      </w:pPr>
    </w:lvl>
    <w:lvl w:ilvl="3" w:tentative="1">
      <w:start w:val="0"/>
      <w:numFmt w:val="bullet"/>
      <w:lvlText w:val="–"/>
      <w:lvlJc w:val="left"/>
      <w:pPr>
        <w:tabs>
          <w:tab w:val="left" w:pos="2160"/>
        </w:tabs>
        <w:ind w:left="2640" w:hanging="480"/>
      </w:pPr>
    </w:lvl>
    <w:lvl w:ilvl="4" w:tentative="1">
      <w:start w:val="0"/>
      <w:numFmt w:val="bullet"/>
      <w:lvlText w:val="•"/>
      <w:lvlJc w:val="left"/>
      <w:pPr>
        <w:tabs>
          <w:tab w:val="left" w:pos="2880"/>
        </w:tabs>
        <w:ind w:left="3360" w:hanging="480"/>
      </w:pPr>
    </w:lvl>
    <w:lvl w:ilvl="5" w:tentative="1">
      <w:start w:val="0"/>
      <w:numFmt w:val="bullet"/>
      <w:lvlText w:val="–"/>
      <w:lvlJc w:val="left"/>
      <w:pPr>
        <w:tabs>
          <w:tab w:val="left" w:pos="3600"/>
        </w:tabs>
        <w:ind w:left="4080" w:hanging="480"/>
      </w:pPr>
    </w:lvl>
    <w:lvl w:ilvl="6" w:tentative="1">
      <w:start w:val="0"/>
      <w:numFmt w:val="bullet"/>
      <w:lvlText w:val="•"/>
      <w:lvlJc w:val="left"/>
      <w:pPr>
        <w:tabs>
          <w:tab w:val="left" w:pos="4320"/>
        </w:tabs>
        <w:ind w:left="4800" w:hanging="480"/>
      </w:pPr>
    </w:lvl>
  </w:abstractNum>
  <w:num w:numId="1">
    <w:abstractNumId w:val="508796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99F781F"/>
    <w:rsid w:val="9FF6E04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unhideWhenUsed/>
    <w:uiPriority w:val="0"/>
  </w:style>
  <w:style w:type="table" w:default="1" w:styleId="19">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Body Text Char"/>
    <w:basedOn w:val="15"/>
    <w:link w:val="3"/>
    <w:uiPriority w:val="0"/>
  </w:style>
  <w:style w:type="character" w:styleId="18">
    <w:name w:val="footnote reference"/>
    <w:basedOn w:val="17"/>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uiPriority w:val="0"/>
    <w:rPr>
      <w:color w:val="880000"/>
    </w:rPr>
  </w:style>
  <w:style w:type="character" w:customStyle="1" w:styleId="40">
    <w:name w:val="CharTok"/>
    <w:basedOn w:val="31"/>
    <w:qFormat/>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qFormat/>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qFormat/>
    <w:uiPriority w:val="0"/>
    <w:rPr>
      <w:color w:val="007020"/>
    </w:rPr>
  </w:style>
  <w:style w:type="character" w:customStyle="1" w:styleId="51">
    <w:name w:val="FunctionTok"/>
    <w:basedOn w:val="31"/>
    <w:qFormat/>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qFormat/>
    <w:uiPriority w:val="0"/>
    <w:rPr>
      <w:b/>
      <w:color w:val="007020"/>
    </w:rPr>
  </w:style>
  <w:style w:type="character" w:customStyle="1" w:styleId="54">
    <w:name w:val="OperatorTok"/>
    <w:basedOn w:val="31"/>
    <w:qFormat/>
    <w:uiPriority w:val="0"/>
    <w:rPr>
      <w:color w:val="666666"/>
    </w:rPr>
  </w:style>
  <w:style w:type="character" w:customStyle="1" w:styleId="55">
    <w:name w:val="BuiltInTok"/>
    <w:basedOn w:val="31"/>
    <w:qFormat/>
    <w:uiPriority w:val="0"/>
  </w:style>
  <w:style w:type="character" w:customStyle="1" w:styleId="56">
    <w:name w:val="ExtensionTok"/>
    <w:basedOn w:val="31"/>
    <w:qFormat/>
    <w:uiPriority w:val="0"/>
  </w:style>
  <w:style w:type="character" w:customStyle="1" w:styleId="57">
    <w:name w:val="PreprocessorTok"/>
    <w:basedOn w:val="31"/>
    <w:qFormat/>
    <w:uiPriority w:val="0"/>
    <w:rPr>
      <w:color w:val="BC7A00"/>
    </w:rPr>
  </w:style>
  <w:style w:type="character" w:customStyle="1" w:styleId="58">
    <w:name w:val="AttributeTok"/>
    <w:basedOn w:val="31"/>
    <w:qFormat/>
    <w:uiPriority w:val="0"/>
    <w:rPr>
      <w:color w:val="7D9029"/>
    </w:rPr>
  </w:style>
  <w:style w:type="character" w:customStyle="1" w:styleId="59">
    <w:name w:val="RegionMarkerTok"/>
    <w:basedOn w:val="31"/>
    <w:qFormat/>
    <w:uiPriority w:val="0"/>
  </w:style>
  <w:style w:type="character" w:customStyle="1" w:styleId="60">
    <w:name w:val="InformationTok"/>
    <w:basedOn w:val="31"/>
    <w:qFormat/>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qFormat/>
    <w:uiPriority w:val="0"/>
    <w:rPr>
      <w:b/>
      <w:color w:val="FF0000"/>
    </w:rPr>
  </w:style>
  <w:style w:type="character" w:customStyle="1" w:styleId="63">
    <w:name w:val="ErrorTok"/>
    <w:basedOn w:val="31"/>
    <w:qFormat/>
    <w:uiPriority w:val="0"/>
    <w:rPr>
      <w:b/>
      <w:color w:val="FF0000"/>
    </w:rPr>
  </w:style>
  <w:style w:type="character" w:customStyle="1" w:styleId="64">
    <w:name w:val="NormalTok"/>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2017-05-09T09:07:00Z</dcterms:created>
  <dc:creator>aidan</dc:creator>
  <cp:lastModifiedBy>aidan</cp:lastModifiedBy>
  <dcterms:modified xsi:type="dcterms:W3CDTF">2017-05-09T09:11:26Z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