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158828E0" w:rsidR="00EF383E" w:rsidRPr="00EF383E" w:rsidRDefault="00D61552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9/</w:t>
      </w:r>
      <w:r w:rsidR="003906AE">
        <w:rPr>
          <w:color w:val="A6A6A6"/>
          <w:sz w:val="20"/>
        </w:rPr>
        <w:t>21</w:t>
      </w:r>
      <w:r>
        <w:rPr>
          <w:color w:val="A6A6A6"/>
          <w:sz w:val="20"/>
        </w:rPr>
        <w:t>/2021</w:t>
      </w:r>
    </w:p>
    <w:p w14:paraId="26AD5E59" w14:textId="636F6A05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3906AE">
        <w:t>4</w:t>
      </w:r>
      <w:r w:rsidR="00E15683">
        <w:t xml:space="preserve">: </w:t>
      </w:r>
      <w:r w:rsidR="003906AE">
        <w:t>Reasoning with Uncertainty Using Fuzzy Rules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7C3F97F7" w14:textId="1EA46A68" w:rsidR="00E8756D" w:rsidRPr="00AC4876" w:rsidRDefault="00D61552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The instructions—about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this Word file template,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>the evaluation matrix</w:t>
      </w:r>
      <w:r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no more than 4 pages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and appendices</w:t>
      </w:r>
      <w:r w:rsidR="00E5030D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>—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are as before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. 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 </w:t>
      </w:r>
    </w:p>
    <w:p w14:paraId="52560906" w14:textId="29E43981" w:rsidR="007F5EE6" w:rsidRPr="009C5C3D" w:rsidRDefault="00E8756D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Problem</w:t>
      </w:r>
      <w:r w:rsidR="003906AE">
        <w:rPr>
          <w:bdr w:val="none" w:sz="0" w:space="0" w:color="auto" w:frame="1"/>
          <w:shd w:val="clear" w:color="auto" w:fill="FFFFFF"/>
        </w:rPr>
        <w:t xml:space="preserve"> Specifications</w:t>
      </w:r>
    </w:p>
    <w:p w14:paraId="348C46E1" w14:textId="3BA3453E" w:rsidR="005F675D" w:rsidRDefault="003906AE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 1-3 sentences, specify a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problem that is amenable to Fuzzy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rules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and that (to your best knowledge) has not been approached with fuzzy rules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 There should be two input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 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and 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output.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 least one nontrivial input </w:t>
      </w:r>
      <w:r w:rsidR="007144F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pair 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of 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values 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should be known 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that produce an output value that 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is known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independently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of this work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 which can be used for validation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(as in the next section)</w:t>
      </w:r>
      <w:r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68C18BC1" w14:textId="048804D4" w:rsidR="00D61552" w:rsidRPr="005F675D" w:rsidRDefault="005F675D" w:rsidP="007F5EE6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E</w:t>
      </w:r>
      <w:r w:rsidR="003906A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xample: </w:t>
      </w:r>
      <w:r w:rsidR="007144F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Estimate </w:t>
      </w:r>
      <w:r w:rsidR="003906A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sale price of a house in </w:t>
      </w:r>
      <w:r w:rsidR="007144F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 designated town</w:t>
      </w:r>
      <w:r w:rsidR="0041385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during </w:t>
      </w:r>
      <w:r w:rsidR="007144F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 designated time</w:t>
      </w:r>
      <w:r w:rsidR="0041385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, </w:t>
      </w:r>
      <w:r w:rsidR="003906A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based on its </w:t>
      </w:r>
      <w:r w:rsidR="007144F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floor</w:t>
      </w:r>
      <w:r w:rsidR="0041385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area (in square feet) and lot size</w:t>
      </w:r>
      <w:r w:rsidR="003906A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41385F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(in acres).</w:t>
      </w:r>
    </w:p>
    <w:p w14:paraId="01A3DDF9" w14:textId="0A0E46D7" w:rsidR="00E15683" w:rsidRPr="00494715" w:rsidRDefault="00AC4876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</w:t>
      </w:r>
      <w:r w:rsidR="00714E80">
        <w:t>s</w:t>
      </w:r>
      <w:r>
        <w:t xml:space="preserve"> replace this.</w:t>
      </w:r>
    </w:p>
    <w:p w14:paraId="2876F72E" w14:textId="7C59518E" w:rsidR="00714E80" w:rsidRPr="009C5C3D" w:rsidRDefault="00714E80" w:rsidP="00714E80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A </w:t>
      </w:r>
      <w:r w:rsidR="0041385F">
        <w:rPr>
          <w:bdr w:val="none" w:sz="0" w:space="0" w:color="auto" w:frame="1"/>
          <w:shd w:val="clear" w:color="auto" w:fill="FFFFFF"/>
        </w:rPr>
        <w:t>Known Input/Output</w:t>
      </w:r>
      <w:r w:rsidR="00B75CF7">
        <w:rPr>
          <w:bdr w:val="none" w:sz="0" w:space="0" w:color="auto" w:frame="1"/>
          <w:shd w:val="clear" w:color="auto" w:fill="FFFFFF"/>
        </w:rPr>
        <w:t xml:space="preserve"> Instance</w:t>
      </w:r>
    </w:p>
    <w:p w14:paraId="7DFEA851" w14:textId="6EC06EB3" w:rsidR="007144FF" w:rsidRDefault="0041385F" w:rsidP="007144FF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41385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Identify a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known </w:t>
      </w:r>
      <w:r w:rsidRPr="0041385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input value pair (i.e.,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conventional </w:t>
      </w:r>
      <w:r w:rsidRPr="0041385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crisp values) and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known corresponding (crisp) output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</w:t>
      </w:r>
      <w:r w:rsidR="00E5030D" w:rsidRP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5030D" w:rsidRPr="003906A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independently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of this work</w:t>
      </w:r>
      <w:r w:rsidRPr="0041385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  <w:r w:rsidR="007144F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5F675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If possible, the instance should be published. Make this a good example, and do not alter it after specifying it.</w:t>
      </w:r>
      <w:r w:rsidR="007144F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5F675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It is for validating your design and implementation.</w:t>
      </w:r>
    </w:p>
    <w:p w14:paraId="0F9E9CB4" w14:textId="6763CA5A" w:rsidR="007144FF" w:rsidRPr="005F675D" w:rsidRDefault="007144FF" w:rsidP="007144FF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Example: the sale price of </w:t>
      </w:r>
      <w:hyperlink r:id="rId8" w:history="1">
        <w:r w:rsidRPr="005F675D">
          <w:rPr>
            <w:rStyle w:val="Hyperlink"/>
            <w:rFonts w:ascii="Arial Narrow" w:hAnsi="Arial Narrow"/>
            <w:i/>
            <w:iCs/>
            <w:sz w:val="18"/>
            <w:szCs w:val="20"/>
            <w:bdr w:val="none" w:sz="0" w:space="0" w:color="auto" w:frame="1"/>
            <w:shd w:val="clear" w:color="auto" w:fill="FFFFFF"/>
          </w:rPr>
          <w:t>526 Winter St, Framingham</w:t>
        </w:r>
      </w:hyperlink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 MA (3,128 sq</w:t>
      </w:r>
      <w:r w:rsidR="00E5030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ft, 0.41 Acres) was $588,000, sold on 09/15/21.</w:t>
      </w:r>
    </w:p>
    <w:p w14:paraId="17C7F754" w14:textId="52EE6D79" w:rsidR="008756C5" w:rsidRPr="00494715" w:rsidRDefault="008756C5" w:rsidP="008756C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2D786202" w14:textId="573B2C01" w:rsidR="009467EC" w:rsidRPr="009C5C3D" w:rsidRDefault="0041385F" w:rsidP="00714E80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Rules</w:t>
      </w:r>
    </w:p>
    <w:p w14:paraId="6CEFAC8B" w14:textId="25EF202E" w:rsidR="0041385F" w:rsidRDefault="0041385F" w:rsidP="0041385F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Provide at least 3 rules.</w:t>
      </w:r>
      <w:r w:rsidR="005F675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Keep in mind that your rules will be tested with the instance </w:t>
      </w:r>
      <w:r w:rsidR="00E5030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that </w:t>
      </w:r>
      <w:r w:rsidR="005F675D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you provided in Part 2.</w:t>
      </w:r>
    </w:p>
    <w:p w14:paraId="7CA7FA95" w14:textId="5DC6C1CA" w:rsidR="009B6296" w:rsidRPr="005F675D" w:rsidRDefault="0041385F" w:rsidP="009B6296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Example for the “house value” application: (1) IF </w:t>
      </w:r>
      <w:r w:rsidR="00A5072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floor area is small and lot size is small THEN sale price is low; (2) IF floor area is large and lot size is large THEN sale price is very high; (3) IF floor area is large and lot size is small THEN sale price is </w:t>
      </w:r>
      <w:r w:rsidR="00E5030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higher than average</w:t>
      </w:r>
      <w:r w:rsidR="00A5072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534529ED" w14:textId="77777777" w:rsidR="009B6296" w:rsidRPr="00494715" w:rsidRDefault="009B6296" w:rsidP="009B629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08AF2312" w14:textId="77777777" w:rsidR="00A5072E" w:rsidRDefault="00A5072E" w:rsidP="00A5072E">
      <w:pPr>
        <w:pStyle w:val="Heading2"/>
        <w:numPr>
          <w:ilvl w:val="0"/>
          <w:numId w:val="3"/>
        </w:numPr>
      </w:pPr>
      <w:r w:rsidRPr="00A5072E">
        <w:t>Values</w:t>
      </w:r>
    </w:p>
    <w:p w14:paraId="4B4BAD5F" w14:textId="045285F3" w:rsidR="007144FF" w:rsidRDefault="00E5030D" w:rsidP="00A5072E">
      <w:pPr>
        <w:pStyle w:val="Heading2"/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 3 (or more) figures, s</w:t>
      </w:r>
      <w:r w:rsidR="00A5072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how the possible fuzzy values for each of the two input variables and for the output variable.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Show multiple values as in the example.</w:t>
      </w:r>
    </w:p>
    <w:p w14:paraId="08A6E964" w14:textId="77777777" w:rsidR="007144FF" w:rsidRDefault="007144FF" w:rsidP="00A5072E">
      <w:pPr>
        <w:pStyle w:val="Heading2"/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</w:p>
    <w:p w14:paraId="7BCB4EFA" w14:textId="097B574D" w:rsidR="00A5072E" w:rsidRPr="005F675D" w:rsidRDefault="007144FF" w:rsidP="00A5072E">
      <w:pPr>
        <w:pStyle w:val="Heading2"/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Example: t</w:t>
      </w:r>
      <w:r w:rsidR="00A5072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he figure shows an example for a temperature variable</w:t>
      </w:r>
      <w:r w:rsidR="00A5072E" w:rsidRPr="005F675D">
        <w:rPr>
          <w:rStyle w:val="FootnoteReference"/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footnoteReference w:id="1"/>
      </w:r>
      <w:r w:rsidR="00A5072E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“House sale price” would have 0 - $1,000,000 on the x-axis, and </w:t>
      </w:r>
      <w:r w:rsidR="00E5030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figures like this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for Low, Medium, and High (or more </w:t>
      </w:r>
      <w:r w:rsidR="00E5030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if more 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refined).</w:t>
      </w:r>
    </w:p>
    <w:p w14:paraId="340E213C" w14:textId="77777777" w:rsidR="009B6296" w:rsidRDefault="00A5072E" w:rsidP="009B629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85B365F" wp14:editId="2414D363">
            <wp:extent cx="1905000" cy="1461518"/>
            <wp:effectExtent l="0" t="0" r="0" b="5715"/>
            <wp:docPr id="3" name="Picture 3" descr="Examples of fuzzy-logic linguistic values for the linguistic variabl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s of fuzzy-logic linguistic values for the linguistic variabl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065" cy="148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D6E3" w14:textId="3F598464" w:rsidR="009B6296" w:rsidRDefault="009B6296" w:rsidP="009B6296">
      <w:r>
        <w:rPr>
          <w:b/>
          <w:bCs/>
        </w:rPr>
        <w:t xml:space="preserve">INPUT 1: </w:t>
      </w:r>
      <w:r>
        <w:t>Your variable name replaces this.</w:t>
      </w:r>
    </w:p>
    <w:p w14:paraId="791A4092" w14:textId="27EA2B7F" w:rsidR="009B6296" w:rsidRDefault="009B6296" w:rsidP="009B629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lastRenderedPageBreak/>
        <w:t>Your responses replace this.</w:t>
      </w:r>
    </w:p>
    <w:p w14:paraId="010BEE59" w14:textId="77777777" w:rsidR="009B6296" w:rsidRDefault="009B6296" w:rsidP="009B6296">
      <w:r>
        <w:rPr>
          <w:b/>
          <w:bCs/>
        </w:rPr>
        <w:t xml:space="preserve">INPUT 2: </w:t>
      </w:r>
      <w:r>
        <w:t>Your variable name replaces this.</w:t>
      </w:r>
    </w:p>
    <w:p w14:paraId="41C389C6" w14:textId="77777777" w:rsidR="009B6296" w:rsidRDefault="009B6296" w:rsidP="009B629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1ED2E9D4" w14:textId="77777777" w:rsidR="009B6296" w:rsidRDefault="009B6296" w:rsidP="009B6296">
      <w:r>
        <w:rPr>
          <w:b/>
          <w:bCs/>
        </w:rPr>
        <w:t xml:space="preserve">OUTPUT: </w:t>
      </w:r>
      <w:r>
        <w:t>Your variable name replaces this.</w:t>
      </w:r>
    </w:p>
    <w:p w14:paraId="59992D19" w14:textId="4ED43409" w:rsidR="00B75CF7" w:rsidRPr="00494715" w:rsidRDefault="009B6296" w:rsidP="00B75CF7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64640AA5" w14:textId="348CFC8C" w:rsidR="00B75CF7" w:rsidRDefault="00B75CF7" w:rsidP="00B75CF7">
      <w:pPr>
        <w:pStyle w:val="Heading2"/>
        <w:numPr>
          <w:ilvl w:val="0"/>
          <w:numId w:val="3"/>
        </w:numPr>
      </w:pPr>
      <w:r>
        <w:t>Output Effects of Rules on the Given Sample Input</w:t>
      </w:r>
    </w:p>
    <w:p w14:paraId="00068C26" w14:textId="33D46462" w:rsidR="00B75CF7" w:rsidRDefault="00B75CF7" w:rsidP="00B75CF7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Show the effects graphically of the rules </w:t>
      </w:r>
      <w:r w:rsidR="005F332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operating on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5F332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your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k</w:t>
      </w:r>
      <w:r w:rsidRPr="00B75CF7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nown Instanc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 in Part 2. </w:t>
      </w:r>
    </w:p>
    <w:p w14:paraId="0EC54FD5" w14:textId="089D780C" w:rsidR="00B4001A" w:rsidRPr="005F675D" w:rsidRDefault="00B4001A" w:rsidP="00B75CF7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An example of the output of a single rule is the following.</w:t>
      </w:r>
      <w:r w:rsidR="00C11983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You are free to use it as a template.</w:t>
      </w:r>
    </w:p>
    <w:p w14:paraId="20710109" w14:textId="7F5ED419" w:rsidR="00B4001A" w:rsidRDefault="00C11983" w:rsidP="00B75CF7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object w:dxaOrig="9650" w:dyaOrig="5443" w14:anchorId="2A417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35pt;height:118.65pt" o:ole="">
            <v:imagedata r:id="rId10" o:title=""/>
          </v:shape>
          <o:OLEObject Type="Embed" ProgID="PowerPoint.Slide.12" ShapeID="_x0000_i1025" DrawAspect="Content" ObjectID="_1693741424" r:id="rId11"/>
        </w:object>
      </w:r>
    </w:p>
    <w:p w14:paraId="3136E75C" w14:textId="71EB7C4F" w:rsidR="0076396C" w:rsidRPr="00494715" w:rsidRDefault="0076396C" w:rsidP="0076396C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</w:t>
      </w:r>
      <w:r w:rsidR="005F332E">
        <w:t xml:space="preserve"> and the above figure</w:t>
      </w:r>
      <w:r>
        <w:t>.</w:t>
      </w:r>
    </w:p>
    <w:p w14:paraId="05EA2D62" w14:textId="77777777" w:rsidR="00B75CF7" w:rsidRDefault="00B75CF7" w:rsidP="00B75CF7">
      <w:pPr>
        <w:pStyle w:val="Heading2"/>
        <w:numPr>
          <w:ilvl w:val="0"/>
          <w:numId w:val="3"/>
        </w:numPr>
      </w:pPr>
      <w:r>
        <w:t>Output Effects of Rules on the Given Sample Input</w:t>
      </w:r>
    </w:p>
    <w:p w14:paraId="6CD798D0" w14:textId="0CF087B3" w:rsidR="00B4001A" w:rsidRDefault="00B75CF7" w:rsidP="00B75CF7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Show the effects graphically together </w:t>
      </w:r>
      <w:r w:rsidRPr="00C11983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 a single diagram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, including an estimate of the </w:t>
      </w:r>
      <w:r w:rsidR="0076396C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areas and </w:t>
      </w:r>
      <w:r w:rsidR="00C119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center</w:t>
      </w:r>
      <w:r w:rsidR="0076396C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of gravity.</w:t>
      </w:r>
      <w:r w:rsidR="001A3DB8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7F2E5EAF" w14:textId="255DEF72" w:rsidR="00B75CF7" w:rsidRPr="005F675D" w:rsidRDefault="001A3DB8" w:rsidP="00B75CF7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An example (which you may use as a template) is below.</w:t>
      </w:r>
      <w:r w:rsidR="005F332E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For convenience, it is sufficient to express the areas as fractions of a selected area.</w:t>
      </w:r>
    </w:p>
    <w:p w14:paraId="5323C60F" w14:textId="7586FB63" w:rsidR="001A3DB8" w:rsidRDefault="00A20D4F" w:rsidP="00B75CF7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object w:dxaOrig="9846" w:dyaOrig="5553" w14:anchorId="54A29DDD">
          <v:shape id="_x0000_i1026" type="#_x0000_t75" style="width:374.1pt;height:210.7pt" o:ole="">
            <v:imagedata r:id="rId12" o:title=""/>
          </v:shape>
          <o:OLEObject Type="Embed" ProgID="PowerPoint.Slide.12" ShapeID="_x0000_i1026" DrawAspect="Content" ObjectID="_1693741425" r:id="rId13"/>
        </w:object>
      </w:r>
    </w:p>
    <w:p w14:paraId="47001231" w14:textId="7BA7F422" w:rsidR="001A3DB8" w:rsidRPr="00494715" w:rsidRDefault="0076396C" w:rsidP="001A3DB8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</w:t>
      </w:r>
      <w:r w:rsidR="001A3DB8">
        <w:t xml:space="preserve"> </w:t>
      </w:r>
      <w:r w:rsidR="005F332E">
        <w:t>and</w:t>
      </w:r>
      <w:r w:rsidR="001A3DB8">
        <w:t xml:space="preserve"> the above </w:t>
      </w:r>
      <w:r w:rsidR="005F332E">
        <w:t>figure</w:t>
      </w:r>
      <w:r>
        <w:t>.</w:t>
      </w:r>
    </w:p>
    <w:p w14:paraId="68C6B844" w14:textId="0BC3E8BF" w:rsidR="001A3DB8" w:rsidRDefault="001A3DB8" w:rsidP="001A3DB8">
      <w:pPr>
        <w:pStyle w:val="Heading2"/>
        <w:numPr>
          <w:ilvl w:val="0"/>
          <w:numId w:val="3"/>
        </w:numPr>
      </w:pPr>
      <w:r>
        <w:t xml:space="preserve">Crisp Output of the Instance </w:t>
      </w:r>
    </w:p>
    <w:p w14:paraId="63258430" w14:textId="77777777" w:rsidR="005F675D" w:rsidRDefault="001A3DB8" w:rsidP="001A3DB8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Use the above diagram to compute the crisp </w:t>
      </w:r>
      <w:r w:rsidR="00C119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(conventional)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output for the instance selected in Part 2. </w:t>
      </w:r>
    </w:p>
    <w:p w14:paraId="72584100" w14:textId="01DBAA6B" w:rsidR="00ED22D8" w:rsidRPr="005F675D" w:rsidRDefault="001A3DB8" w:rsidP="001A3DB8">
      <w:pPr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lastRenderedPageBreak/>
        <w:t>Example from the above figure: (1×3.5 + 0.7×5.9)/ (</w:t>
      </w:r>
      <w:r w:rsidR="00ED22D8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1 + 0.7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) = </w:t>
      </w:r>
      <w:r w:rsidR="00ED22D8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7.63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/</w:t>
      </w:r>
      <w:r w:rsidR="00ED22D8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1.</w:t>
      </w:r>
      <w:r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7 = </w:t>
      </w:r>
      <w:r w:rsidR="00ED22D8" w:rsidRPr="005F675D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4.49</w:t>
      </w:r>
    </w:p>
    <w:p w14:paraId="642DD50F" w14:textId="728EE227" w:rsidR="00ED22D8" w:rsidRDefault="00ED22D8" w:rsidP="001A3DB8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Compare this with the output you expected in Part 2</w:t>
      </w:r>
      <w:r w:rsidR="00C119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(do not change it!)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 Explain the difference</w:t>
      </w:r>
      <w:r w:rsidR="005F332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as best you can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4D539D6E" w14:textId="5A254A0D" w:rsidR="00ED22D8" w:rsidRPr="00494715" w:rsidRDefault="00ED22D8" w:rsidP="00ED22D8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replaces this.</w:t>
      </w:r>
    </w:p>
    <w:p w14:paraId="5C00DD71" w14:textId="4E59C029" w:rsidR="00A93EFB" w:rsidRPr="00A5072E" w:rsidRDefault="00A93EFB" w:rsidP="001A3DB8">
      <w:pPr>
        <w:rPr>
          <w:sz w:val="26"/>
          <w:szCs w:val="26"/>
        </w:rPr>
      </w:pPr>
      <w:r w:rsidRPr="00A5072E">
        <w:rPr>
          <w:sz w:val="26"/>
          <w:szCs w:val="26"/>
        </w:rPr>
        <w:br w:type="page"/>
      </w:r>
    </w:p>
    <w:p w14:paraId="15A4EBCC" w14:textId="19E40783" w:rsidR="00D77D3A" w:rsidRDefault="00D77D3A" w:rsidP="00D77D3A">
      <w:pPr>
        <w:pStyle w:val="Heading1"/>
      </w:pPr>
      <w:r>
        <w:lastRenderedPageBreak/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3077D2C3" w14:textId="287127F1" w:rsidR="0072487E" w:rsidRPr="00ED22D8" w:rsidRDefault="003A0B72" w:rsidP="00ED22D8">
      <w:r>
        <w:object w:dxaOrig="9209" w:dyaOrig="3945" w14:anchorId="3863384C">
          <v:shape id="_x0000_i1027" type="#_x0000_t75" style="width:460.8pt;height:196.6pt" o:ole="">
            <v:imagedata r:id="rId14" o:title=""/>
          </v:shape>
          <o:OLEObject Type="Embed" ProgID="Excel.Sheet.12" ShapeID="_x0000_i1027" DrawAspect="Content" ObjectID="_1693741426" r:id="rId15"/>
        </w:object>
      </w:r>
    </w:p>
    <w:sectPr w:rsidR="0072487E" w:rsidRPr="00ED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ECEE" w14:textId="77777777" w:rsidR="00E8756D" w:rsidRDefault="00E8756D" w:rsidP="00E8756D">
      <w:pPr>
        <w:spacing w:after="0" w:line="240" w:lineRule="auto"/>
      </w:pPr>
      <w:r>
        <w:separator/>
      </w:r>
    </w:p>
  </w:endnote>
  <w:endnote w:type="continuationSeparator" w:id="0">
    <w:p w14:paraId="48298D72" w14:textId="77777777" w:rsidR="00E8756D" w:rsidRDefault="00E8756D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C3CA4" w14:textId="77777777" w:rsidR="00E8756D" w:rsidRDefault="00E8756D" w:rsidP="00E8756D">
      <w:pPr>
        <w:spacing w:after="0" w:line="240" w:lineRule="auto"/>
      </w:pPr>
      <w:r>
        <w:separator/>
      </w:r>
    </w:p>
  </w:footnote>
  <w:footnote w:type="continuationSeparator" w:id="0">
    <w:p w14:paraId="2DD0A5F9" w14:textId="77777777" w:rsidR="00E8756D" w:rsidRDefault="00E8756D" w:rsidP="00E8756D">
      <w:pPr>
        <w:spacing w:after="0" w:line="240" w:lineRule="auto"/>
      </w:pPr>
      <w:r>
        <w:continuationSeparator/>
      </w:r>
    </w:p>
  </w:footnote>
  <w:footnote w:id="1">
    <w:p w14:paraId="4BB4DD3D" w14:textId="6A9A73FA" w:rsidR="00A5072E" w:rsidRDefault="00A507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382E3F">
          <w:rPr>
            <w:rStyle w:val="Hyperlink"/>
          </w:rPr>
          <w:t>https://www.researchgate.net/figure/Examples-of-fuzzy-logic-linguistic-values-for-the-linguistic-variable-temperature_fig5_49677005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42B1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5348E"/>
    <w:multiLevelType w:val="hybridMultilevel"/>
    <w:tmpl w:val="7CF8CC3C"/>
    <w:lvl w:ilvl="0" w:tplc="B686B66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16868"/>
    <w:multiLevelType w:val="hybridMultilevel"/>
    <w:tmpl w:val="08FAC6EE"/>
    <w:lvl w:ilvl="0" w:tplc="5CA45A9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E1995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13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C75C2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1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67DE2"/>
    <w:rsid w:val="00094129"/>
    <w:rsid w:val="000E5AF8"/>
    <w:rsid w:val="001420F7"/>
    <w:rsid w:val="001A3DB8"/>
    <w:rsid w:val="00240EE6"/>
    <w:rsid w:val="0025202C"/>
    <w:rsid w:val="002F41B5"/>
    <w:rsid w:val="00364BE3"/>
    <w:rsid w:val="003906AE"/>
    <w:rsid w:val="003A0B72"/>
    <w:rsid w:val="0041385F"/>
    <w:rsid w:val="00441095"/>
    <w:rsid w:val="00494715"/>
    <w:rsid w:val="004C5521"/>
    <w:rsid w:val="005F203D"/>
    <w:rsid w:val="005F332E"/>
    <w:rsid w:val="005F675D"/>
    <w:rsid w:val="00623C66"/>
    <w:rsid w:val="006B2FC1"/>
    <w:rsid w:val="007144FF"/>
    <w:rsid w:val="00714E80"/>
    <w:rsid w:val="0072487E"/>
    <w:rsid w:val="0076396C"/>
    <w:rsid w:val="00780EB3"/>
    <w:rsid w:val="007F5EE6"/>
    <w:rsid w:val="007F6330"/>
    <w:rsid w:val="00840DAA"/>
    <w:rsid w:val="008756C5"/>
    <w:rsid w:val="008B23B8"/>
    <w:rsid w:val="008E1A43"/>
    <w:rsid w:val="009467EC"/>
    <w:rsid w:val="009B6296"/>
    <w:rsid w:val="009B73C2"/>
    <w:rsid w:val="009C5C3D"/>
    <w:rsid w:val="009F2623"/>
    <w:rsid w:val="00A20D4F"/>
    <w:rsid w:val="00A5067F"/>
    <w:rsid w:val="00A5072E"/>
    <w:rsid w:val="00A93EFB"/>
    <w:rsid w:val="00AC4876"/>
    <w:rsid w:val="00B4001A"/>
    <w:rsid w:val="00B75CF7"/>
    <w:rsid w:val="00C11983"/>
    <w:rsid w:val="00C53EB2"/>
    <w:rsid w:val="00C80C48"/>
    <w:rsid w:val="00C85185"/>
    <w:rsid w:val="00C97E4D"/>
    <w:rsid w:val="00CD7CB7"/>
    <w:rsid w:val="00CE67AF"/>
    <w:rsid w:val="00CF70B2"/>
    <w:rsid w:val="00D117AA"/>
    <w:rsid w:val="00D2195F"/>
    <w:rsid w:val="00D61552"/>
    <w:rsid w:val="00D77D3A"/>
    <w:rsid w:val="00DC525D"/>
    <w:rsid w:val="00E15683"/>
    <w:rsid w:val="00E35109"/>
    <w:rsid w:val="00E5030D"/>
    <w:rsid w:val="00E8756D"/>
    <w:rsid w:val="00EB64CA"/>
    <w:rsid w:val="00ED22D8"/>
    <w:rsid w:val="00EE5422"/>
    <w:rsid w:val="00EF383E"/>
    <w:rsid w:val="00F07F39"/>
    <w:rsid w:val="00F219FA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llow.com/homedetails/526-Winter-St-Framingham-MA-01702/165992418_zpid/?" TargetMode="External"/><Relationship Id="rId13" Type="http://schemas.openxmlformats.org/officeDocument/2006/relationships/package" Target="embeddings/Microsoft_PowerPoint_Slide1.sl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PowerPoint_Slide.sld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/figure/Examples-of-fuzzy-logic-linguistic-values-for-the-linguistic-variable-temperature_fig5_49677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5DD2-B0DE-4DE3-BA3A-969B0575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36</cp:revision>
  <cp:lastPrinted>2021-09-21T17:53:00Z</cp:lastPrinted>
  <dcterms:created xsi:type="dcterms:W3CDTF">2018-09-27T19:15:00Z</dcterms:created>
  <dcterms:modified xsi:type="dcterms:W3CDTF">2021-09-21T18:57:00Z</dcterms:modified>
</cp:coreProperties>
</file>