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D102E" w14:textId="77777777" w:rsidR="00F57784" w:rsidRDefault="00000000">
      <w:pPr>
        <w:spacing w:before="1400"/>
      </w:pPr>
      <w:r>
        <w:rPr>
          <w:noProof/>
        </w:rPr>
        <w:drawing>
          <wp:inline distT="0" distB="0" distL="0" distR="0" wp14:anchorId="503B048F" wp14:editId="032ABEB7">
            <wp:extent cx="2209800" cy="981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BC54" w14:textId="73EB57F5" w:rsidR="00F57784" w:rsidRDefault="00E91844">
      <w:pPr>
        <w:spacing w:before="520"/>
      </w:pPr>
      <w:r>
        <w:rPr>
          <w:rFonts w:ascii="Arial" w:eastAsia="Arial" w:hAnsi="Arial" w:cs="Arial"/>
          <w:b/>
          <w:bCs/>
          <w:color w:val="3C533C"/>
          <w:sz w:val="66"/>
          <w:szCs w:val="66"/>
        </w:rPr>
        <w:t xml:space="preserve">SLR </w:t>
      </w:r>
      <w:r w:rsidR="00000000">
        <w:rPr>
          <w:rFonts w:ascii="Arial" w:eastAsia="Arial" w:hAnsi="Arial" w:cs="Arial"/>
          <w:b/>
          <w:bCs/>
          <w:color w:val="3C533C"/>
          <w:sz w:val="66"/>
          <w:szCs w:val="66"/>
        </w:rPr>
        <w:t>Tools</w:t>
      </w:r>
    </w:p>
    <w:p w14:paraId="17DFDA07" w14:textId="77777777" w:rsidR="00F57784" w:rsidRDefault="00000000">
      <w:pPr>
        <w:spacing w:before="40"/>
      </w:pPr>
      <w:r>
        <w:rPr>
          <w:rFonts w:ascii="Arial" w:eastAsia="Arial" w:hAnsi="Arial" w:cs="Arial"/>
          <w:b/>
          <w:bCs/>
          <w:sz w:val="40"/>
          <w:szCs w:val="40"/>
        </w:rPr>
        <w:t>User Manual</w:t>
      </w:r>
    </w:p>
    <w:p w14:paraId="01BC0D86" w14:textId="77777777" w:rsidR="00F57784" w:rsidRDefault="00F57784">
      <w:pPr>
        <w:pBdr>
          <w:bottom w:val="single" w:sz="12" w:space="0" w:color="3C533C"/>
        </w:pBdr>
        <w:spacing w:before="20"/>
      </w:pPr>
    </w:p>
    <w:p w14:paraId="265F6C07" w14:textId="77777777" w:rsidR="00F57784" w:rsidRDefault="00000000">
      <w:pPr>
        <w:spacing w:before="260"/>
      </w:pPr>
      <w:r>
        <w:rPr>
          <w:rFonts w:ascii="Arial" w:eastAsia="Arial" w:hAnsi="Arial" w:cs="Arial"/>
          <w:color w:val="49514A"/>
          <w:spacing w:val="10"/>
          <w:sz w:val="24"/>
          <w:szCs w:val="24"/>
        </w:rPr>
        <w:t>Resource Estimation Tools</w:t>
      </w:r>
    </w:p>
    <w:p w14:paraId="35C011AD" w14:textId="77777777" w:rsidR="00F57784" w:rsidRDefault="00000000">
      <w:pPr>
        <w:spacing w:before="460"/>
      </w:pPr>
      <w:r>
        <w:rPr>
          <w:color w:val="49514A"/>
          <w:sz w:val="22"/>
          <w:szCs w:val="22"/>
        </w:rPr>
        <w:t xml:space="preserve">A </w:t>
      </w:r>
      <w:proofErr w:type="gramStart"/>
      <w:r>
        <w:rPr>
          <w:color w:val="49514A"/>
          <w:sz w:val="22"/>
          <w:szCs w:val="22"/>
        </w:rPr>
        <w:t>browser based</w:t>
      </w:r>
      <w:proofErr w:type="gramEnd"/>
      <w:r>
        <w:rPr>
          <w:color w:val="49514A"/>
          <w:sz w:val="22"/>
          <w:szCs w:val="22"/>
        </w:rPr>
        <w:t xml:space="preserve"> toolkit that takes drillhole assays from the laboratory through to a defensible resource estimate: QA/QC, validation, statistics, capping, </w:t>
      </w:r>
      <w:proofErr w:type="spellStart"/>
      <w:r>
        <w:rPr>
          <w:color w:val="49514A"/>
          <w:sz w:val="22"/>
          <w:szCs w:val="22"/>
        </w:rPr>
        <w:t>geostatistics</w:t>
      </w:r>
      <w:proofErr w:type="spellEnd"/>
      <w:r>
        <w:rPr>
          <w:color w:val="49514A"/>
          <w:sz w:val="22"/>
          <w:szCs w:val="22"/>
        </w:rPr>
        <w:t xml:space="preserve"> and reconciliation. No install required.</w:t>
      </w:r>
    </w:p>
    <w:p w14:paraId="2472EF1E" w14:textId="77777777" w:rsidR="00F57784" w:rsidRDefault="00000000">
      <w:pPr>
        <w:spacing w:before="1600"/>
      </w:pPr>
      <w:r>
        <w:rPr>
          <w:rFonts w:ascii="Arial" w:eastAsia="Arial" w:hAnsi="Arial" w:cs="Arial"/>
          <w:b/>
          <w:bCs/>
          <w:color w:val="3C533C"/>
          <w:sz w:val="22"/>
          <w:szCs w:val="22"/>
        </w:rPr>
        <w:t>SLR Consulting</w:t>
      </w:r>
      <w:r>
        <w:rPr>
          <w:color w:val="49514A"/>
        </w:rPr>
        <w:t xml:space="preserve">     Version 1.0.2</w:t>
      </w:r>
    </w:p>
    <w:p w14:paraId="684C207F" w14:textId="77777777" w:rsidR="00F57784" w:rsidRDefault="00000000">
      <w:r>
        <w:br w:type="page"/>
      </w:r>
    </w:p>
    <w:p w14:paraId="4B8796BB" w14:textId="77777777" w:rsidR="00F57784" w:rsidRDefault="00000000">
      <w:pPr>
        <w:spacing w:after="140"/>
      </w:pPr>
      <w:r>
        <w:rPr>
          <w:rFonts w:ascii="Arial" w:eastAsia="Arial" w:hAnsi="Arial" w:cs="Arial"/>
          <w:b/>
          <w:bCs/>
          <w:color w:val="3C533C"/>
          <w:sz w:val="26"/>
          <w:szCs w:val="26"/>
        </w:rPr>
        <w:lastRenderedPageBreak/>
        <w:t>Contents</w:t>
      </w:r>
    </w:p>
    <w:sdt>
      <w:sdtPr>
        <w:alias w:val="Contents"/>
        <w:id w:val="1663738444"/>
      </w:sdtPr>
      <w:sdtContent>
        <w:p w14:paraId="2BAE61AC" w14:textId="77777777" w:rsidR="00E91844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940716" w:history="1">
            <w:r w:rsidR="00E91844" w:rsidRPr="006211CF">
              <w:rPr>
                <w:rStyle w:val="Hyperlink"/>
                <w:noProof/>
              </w:rPr>
              <w:t>1.  How the tools fit together</w:t>
            </w:r>
            <w:r w:rsidR="00E91844">
              <w:rPr>
                <w:noProof/>
              </w:rPr>
              <w:tab/>
            </w:r>
            <w:r w:rsidR="00E91844">
              <w:rPr>
                <w:noProof/>
              </w:rPr>
              <w:fldChar w:fldCharType="begin"/>
            </w:r>
            <w:r w:rsidR="00E91844">
              <w:rPr>
                <w:noProof/>
              </w:rPr>
              <w:instrText xml:space="preserve"> PAGEREF _Toc239940716 \h </w:instrText>
            </w:r>
            <w:r w:rsidR="00E91844">
              <w:rPr>
                <w:noProof/>
              </w:rPr>
            </w:r>
            <w:r w:rsidR="00E91844">
              <w:rPr>
                <w:noProof/>
              </w:rPr>
              <w:fldChar w:fldCharType="separate"/>
            </w:r>
            <w:r w:rsidR="00E91844">
              <w:rPr>
                <w:noProof/>
              </w:rPr>
              <w:t>3</w:t>
            </w:r>
            <w:r w:rsidR="00E91844">
              <w:rPr>
                <w:noProof/>
              </w:rPr>
              <w:fldChar w:fldCharType="end"/>
            </w:r>
          </w:hyperlink>
        </w:p>
        <w:p w14:paraId="5BE5BFE0" w14:textId="77777777" w:rsidR="00E91844" w:rsidRDefault="00E918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940717" w:history="1">
            <w:r w:rsidRPr="006211CF">
              <w:rPr>
                <w:rStyle w:val="Hyperlink"/>
                <w:noProof/>
              </w:rPr>
              <w:t>2.  Getting started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7FEDDA7" w14:textId="77777777" w:rsidR="00E91844" w:rsidRDefault="00E918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940718" w:history="1">
            <w:r w:rsidRPr="006211CF">
              <w:rPr>
                <w:rStyle w:val="Hyperlink"/>
                <w:noProof/>
              </w:rPr>
              <w:t>3.  File input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78A0B03" w14:textId="77777777" w:rsidR="00E91844" w:rsidRDefault="00E9184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940719" w:history="1">
            <w:r w:rsidRPr="006211CF">
              <w:rPr>
                <w:rStyle w:val="Hyperlink"/>
                <w:noProof/>
              </w:rPr>
              <w:t>The tools meet messy files halfway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D54688" w14:textId="77777777" w:rsidR="00E91844" w:rsidRDefault="00E918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940720" w:history="1">
            <w:r w:rsidRPr="006211CF">
              <w:rPr>
                <w:rStyle w:val="Hyperlink"/>
                <w:noProof/>
              </w:rPr>
              <w:t>4.  Tool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FFC473" w14:textId="77777777" w:rsidR="00E91844" w:rsidRDefault="00E9184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940721" w:history="1">
            <w:r w:rsidRPr="006211CF">
              <w:rPr>
                <w:rStyle w:val="Hyperlink"/>
                <w:noProof/>
              </w:rPr>
              <w:t>Plotting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2018C4" w14:textId="77777777" w:rsidR="00E91844" w:rsidRDefault="00E9184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940722" w:history="1">
            <w:r w:rsidRPr="006211CF">
              <w:rPr>
                <w:rStyle w:val="Hyperlink"/>
                <w:noProof/>
              </w:rPr>
              <w:t>Sample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62D865" w14:textId="77777777" w:rsidR="00E91844" w:rsidRDefault="00E9184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940723" w:history="1">
            <w:r w:rsidRPr="006211CF">
              <w:rPr>
                <w:rStyle w:val="Hyperlink"/>
                <w:noProof/>
              </w:rPr>
              <w:t>Block Model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9144F37" w14:textId="77777777" w:rsidR="00E91844" w:rsidRDefault="00E9184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940724" w:history="1">
            <w:r w:rsidRPr="006211CF">
              <w:rPr>
                <w:rStyle w:val="Hyperlink"/>
                <w:noProof/>
              </w:rPr>
              <w:t>Geostats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B2FD77B" w14:textId="77777777" w:rsidR="00E91844" w:rsidRDefault="00E9184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940725" w:history="1">
            <w:r w:rsidRPr="006211CF">
              <w:rPr>
                <w:rStyle w:val="Hyperlink"/>
                <w:noProof/>
              </w:rPr>
              <w:t>QA/QC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6A761C" w14:textId="77777777" w:rsidR="00E91844" w:rsidRDefault="00E9184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940726" w:history="1">
            <w:r w:rsidRPr="006211CF">
              <w:rPr>
                <w:rStyle w:val="Hyperlink"/>
                <w:noProof/>
              </w:rPr>
              <w:t>Data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41BD47" w14:textId="77777777" w:rsidR="00F57784" w:rsidRDefault="00000000">
          <w:r>
            <w:fldChar w:fldCharType="end"/>
          </w:r>
        </w:p>
      </w:sdtContent>
    </w:sdt>
    <w:p w14:paraId="550733F8" w14:textId="77777777" w:rsidR="00F57784" w:rsidRDefault="00000000">
      <w:r>
        <w:br w:type="page"/>
      </w:r>
    </w:p>
    <w:p w14:paraId="10618F82" w14:textId="77777777" w:rsidR="00F57784" w:rsidRDefault="00000000">
      <w:pPr>
        <w:pStyle w:val="Heading1"/>
        <w:spacing w:before="320" w:after="140"/>
      </w:pPr>
      <w:bookmarkStart w:id="0" w:name="_Toc239940716"/>
      <w:r>
        <w:lastRenderedPageBreak/>
        <w:t>1.  How the tools fit together</w:t>
      </w:r>
      <w:bookmarkEnd w:id="0"/>
    </w:p>
    <w:p w14:paraId="09CB1C9C" w14:textId="77777777" w:rsidR="00F57784" w:rsidRDefault="00000000">
      <w:pPr>
        <w:spacing w:after="140" w:line="276" w:lineRule="auto"/>
      </w:pPr>
      <w:r>
        <w:t xml:space="preserve">The toolkit mirrors the life of a resource estimation study. Data </w:t>
      </w:r>
      <w:proofErr w:type="gramStart"/>
      <w:r>
        <w:t>has to</w:t>
      </w:r>
      <w:proofErr w:type="gramEnd"/>
      <w:r>
        <w:t xml:space="preserve"> be trusted before it can be understood, treated, and finally modelled. The stages below run in order, and the early stages gate the later ones, so a failed standard or a bad merge is caught before it contaminates a grade estimate.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6"/>
        <w:gridCol w:w="2186"/>
        <w:gridCol w:w="3366"/>
        <w:gridCol w:w="2972"/>
      </w:tblGrid>
      <w:tr w:rsidR="00F57784" w14:paraId="7C5893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550DB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Stage</w:t>
            </w:r>
          </w:p>
        </w:tc>
        <w:tc>
          <w:tcPr>
            <w:tcW w:w="22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BC6A3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Focus</w:t>
            </w:r>
          </w:p>
        </w:tc>
        <w:tc>
          <w:tcPr>
            <w:tcW w:w="34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03655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Question it answers</w:t>
            </w:r>
          </w:p>
        </w:tc>
        <w:tc>
          <w:tcPr>
            <w:tcW w:w="30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10990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Tools</w:t>
            </w:r>
          </w:p>
        </w:tc>
      </w:tr>
      <w:tr w:rsidR="00F57784" w14:paraId="68C10F5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0C8851" w14:textId="77777777" w:rsidR="00F57784" w:rsidRDefault="00000000">
            <w:r>
              <w:rPr>
                <w:b/>
                <w:bCs/>
              </w:rPr>
              <w:t>1</w:t>
            </w:r>
          </w:p>
        </w:tc>
        <w:tc>
          <w:tcPr>
            <w:tcW w:w="22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D68E7A" w14:textId="77777777" w:rsidR="00F57784" w:rsidRDefault="00000000">
            <w:r>
              <w:rPr>
                <w:b/>
                <w:bCs/>
              </w:rPr>
              <w:t>Validate incoming lab data</w:t>
            </w:r>
          </w:p>
        </w:tc>
        <w:tc>
          <w:tcPr>
            <w:tcW w:w="34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24AC53" w14:textId="77777777" w:rsidR="00F57784" w:rsidRDefault="00000000">
            <w:r>
              <w:t>Does the database match the lab certificates?</w:t>
            </w:r>
          </w:p>
        </w:tc>
        <w:tc>
          <w:tcPr>
            <w:tcW w:w="30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F3A300" w14:textId="77777777" w:rsidR="00F57784" w:rsidRDefault="00000000">
            <w:r>
              <w:t>Data Verification</w:t>
            </w:r>
          </w:p>
        </w:tc>
      </w:tr>
      <w:tr w:rsidR="00F57784" w14:paraId="019B35E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765C5D" w14:textId="77777777" w:rsidR="00F57784" w:rsidRDefault="00000000">
            <w:r>
              <w:rPr>
                <w:b/>
                <w:bCs/>
              </w:rPr>
              <w:t>2</w:t>
            </w:r>
          </w:p>
        </w:tc>
        <w:tc>
          <w:tcPr>
            <w:tcW w:w="22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C23ADF" w14:textId="77777777" w:rsidR="00F57784" w:rsidRDefault="00000000">
            <w:r>
              <w:rPr>
                <w:b/>
                <w:bCs/>
              </w:rPr>
              <w:t>QA/QC the assays</w:t>
            </w:r>
          </w:p>
        </w:tc>
        <w:tc>
          <w:tcPr>
            <w:tcW w:w="34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5943BE" w14:textId="77777777" w:rsidR="00F57784" w:rsidRDefault="00000000">
            <w:r>
              <w:t>Are the assay numbers reliable?</w:t>
            </w:r>
          </w:p>
        </w:tc>
        <w:tc>
          <w:tcPr>
            <w:tcW w:w="30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88BBD8" w14:textId="77777777" w:rsidR="00F57784" w:rsidRDefault="00000000">
            <w:r>
              <w:t>Standards, Blanks, Duplicates, Check Assays, Z-Score</w:t>
            </w:r>
          </w:p>
        </w:tc>
      </w:tr>
      <w:tr w:rsidR="00F57784" w14:paraId="2CCB62E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705A4E" w14:textId="77777777" w:rsidR="00F57784" w:rsidRDefault="00000000">
            <w:r>
              <w:rPr>
                <w:b/>
                <w:bCs/>
              </w:rPr>
              <w:t>3</w:t>
            </w:r>
          </w:p>
        </w:tc>
        <w:tc>
          <w:tcPr>
            <w:tcW w:w="22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452554" w14:textId="77777777" w:rsidR="00F57784" w:rsidRDefault="00000000">
            <w:r>
              <w:rPr>
                <w:b/>
                <w:bCs/>
              </w:rPr>
              <w:t>Explore the data</w:t>
            </w:r>
          </w:p>
        </w:tc>
        <w:tc>
          <w:tcPr>
            <w:tcW w:w="34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B5AEEE" w14:textId="77777777" w:rsidR="00F57784" w:rsidRDefault="00000000">
            <w:r>
              <w:t>How does grade behave, by domain?</w:t>
            </w:r>
          </w:p>
        </w:tc>
        <w:tc>
          <w:tcPr>
            <w:tcW w:w="30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04A8C4" w14:textId="77777777" w:rsidR="00F57784" w:rsidRDefault="00000000">
            <w:r>
              <w:t>Statistics, Box Plot, Scatter Plot, Width Plot, Contact Analysis</w:t>
            </w:r>
          </w:p>
        </w:tc>
      </w:tr>
      <w:tr w:rsidR="00F57784" w14:paraId="74F4504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9E5A4A" w14:textId="77777777" w:rsidR="00F57784" w:rsidRDefault="00000000">
            <w:r>
              <w:rPr>
                <w:b/>
                <w:bCs/>
              </w:rPr>
              <w:t>4</w:t>
            </w:r>
          </w:p>
        </w:tc>
        <w:tc>
          <w:tcPr>
            <w:tcW w:w="22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FA93F7" w14:textId="77777777" w:rsidR="00F57784" w:rsidRDefault="00000000">
            <w:r>
              <w:rPr>
                <w:b/>
                <w:bCs/>
              </w:rPr>
              <w:t>Data density and classification</w:t>
            </w:r>
          </w:p>
        </w:tc>
        <w:tc>
          <w:tcPr>
            <w:tcW w:w="34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0B1E5B" w14:textId="77777777" w:rsidR="00F57784" w:rsidRDefault="00000000">
            <w:r>
              <w:t>How tightly is each domain sampled?</w:t>
            </w:r>
          </w:p>
        </w:tc>
        <w:tc>
          <w:tcPr>
            <w:tcW w:w="30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9868AB" w14:textId="77777777" w:rsidR="00F57784" w:rsidRDefault="00000000">
            <w:r>
              <w:t>DDH Spacing, Thin DDH Spacing</w:t>
            </w:r>
          </w:p>
        </w:tc>
      </w:tr>
      <w:tr w:rsidR="00F57784" w14:paraId="56B9E91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B85356" w14:textId="77777777" w:rsidR="00F57784" w:rsidRDefault="00000000">
            <w:r>
              <w:rPr>
                <w:b/>
                <w:bCs/>
              </w:rPr>
              <w:t>5</w:t>
            </w:r>
          </w:p>
        </w:tc>
        <w:tc>
          <w:tcPr>
            <w:tcW w:w="22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61F637" w14:textId="77777777" w:rsidR="00F57784" w:rsidRDefault="00000000">
            <w:r>
              <w:rPr>
                <w:b/>
                <w:bCs/>
              </w:rPr>
              <w:t>Treat outliers (capping)</w:t>
            </w:r>
          </w:p>
        </w:tc>
        <w:tc>
          <w:tcPr>
            <w:tcW w:w="34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2F6C01" w14:textId="77777777" w:rsidR="00F57784" w:rsidRDefault="00000000">
            <w:r>
              <w:t>What top-cut, and at what cost?</w:t>
            </w:r>
          </w:p>
        </w:tc>
        <w:tc>
          <w:tcPr>
            <w:tcW w:w="30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4F3BE8" w14:textId="77777777" w:rsidR="00F57784" w:rsidRDefault="00000000">
            <w:r>
              <w:t>Capping Analysis, Uncapped vs Capped</w:t>
            </w:r>
          </w:p>
        </w:tc>
      </w:tr>
      <w:tr w:rsidR="00F57784" w14:paraId="0B2E08A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2F8E24" w14:textId="77777777" w:rsidR="00F57784" w:rsidRDefault="00000000">
            <w:r>
              <w:rPr>
                <w:b/>
                <w:bCs/>
              </w:rPr>
              <w:t>6</w:t>
            </w:r>
          </w:p>
        </w:tc>
        <w:tc>
          <w:tcPr>
            <w:tcW w:w="22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6CC7CD" w14:textId="77777777" w:rsidR="00F57784" w:rsidRDefault="00000000">
            <w:proofErr w:type="spellStart"/>
            <w:r>
              <w:rPr>
                <w:b/>
                <w:bCs/>
              </w:rPr>
              <w:t>Geostatistics</w:t>
            </w:r>
            <w:proofErr w:type="spellEnd"/>
            <w:r>
              <w:rPr>
                <w:b/>
                <w:bCs/>
              </w:rPr>
              <w:t>, change of support</w:t>
            </w:r>
          </w:p>
        </w:tc>
        <w:tc>
          <w:tcPr>
            <w:tcW w:w="34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3A03AC" w14:textId="77777777" w:rsidR="00F57784" w:rsidRDefault="00000000">
            <w:r>
              <w:t>How do point samples become block estimates?</w:t>
            </w:r>
          </w:p>
        </w:tc>
        <w:tc>
          <w:tcPr>
            <w:tcW w:w="30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ABD597" w14:textId="77777777" w:rsidR="00F57784" w:rsidRDefault="00000000">
            <w:proofErr w:type="spellStart"/>
            <w:r>
              <w:t>Gammabar</w:t>
            </w:r>
            <w:proofErr w:type="spellEnd"/>
            <w:r>
              <w:t xml:space="preserve"> Plot</w:t>
            </w:r>
          </w:p>
        </w:tc>
      </w:tr>
      <w:tr w:rsidR="00F57784" w14:paraId="217BE0A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0EBFD2" w14:textId="77777777" w:rsidR="00F57784" w:rsidRDefault="00000000">
            <w:r>
              <w:rPr>
                <w:b/>
                <w:bCs/>
              </w:rPr>
              <w:t>7</w:t>
            </w:r>
          </w:p>
        </w:tc>
        <w:tc>
          <w:tcPr>
            <w:tcW w:w="22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E183E6" w14:textId="77777777" w:rsidR="00F57784" w:rsidRDefault="00000000">
            <w:r>
              <w:rPr>
                <w:b/>
                <w:bCs/>
              </w:rPr>
              <w:t>Block model and reconciliation</w:t>
            </w:r>
          </w:p>
        </w:tc>
        <w:tc>
          <w:tcPr>
            <w:tcW w:w="34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8DF9A0" w14:textId="77777777" w:rsidR="00F57784" w:rsidRDefault="00000000">
            <w:r>
              <w:t>Does the model line up with reality?</w:t>
            </w:r>
          </w:p>
        </w:tc>
        <w:tc>
          <w:tcPr>
            <w:tcW w:w="30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AE6C41" w14:textId="77777777" w:rsidR="00F57784" w:rsidRDefault="00000000">
            <w:r>
              <w:t>Convert Rotations, Drill Hole Comparison</w:t>
            </w:r>
          </w:p>
        </w:tc>
      </w:tr>
    </w:tbl>
    <w:p w14:paraId="2865C40E" w14:textId="77777777" w:rsidR="00F57784" w:rsidRDefault="00F57784">
      <w:pPr>
        <w:pBdr>
          <w:bottom w:val="single" w:sz="8" w:space="0" w:color="3C533C"/>
        </w:pBdr>
        <w:spacing w:before="40" w:after="160"/>
      </w:pPr>
    </w:p>
    <w:p w14:paraId="631F03B5" w14:textId="77777777" w:rsidR="00F57784" w:rsidRDefault="00000000">
      <w:pPr>
        <w:pStyle w:val="Heading1"/>
        <w:spacing w:before="320" w:after="140"/>
      </w:pPr>
      <w:bookmarkStart w:id="1" w:name="_Toc239940717"/>
      <w:r>
        <w:t>2.  Getting started</w:t>
      </w:r>
      <w:bookmarkEnd w:id="1"/>
    </w:p>
    <w:p w14:paraId="37DE208E" w14:textId="77777777" w:rsidR="00F57784" w:rsidRDefault="00000000">
      <w:pPr>
        <w:spacing w:after="140" w:line="276" w:lineRule="auto"/>
      </w:pPr>
      <w:r>
        <w:t>The app runs entirely in the browser, with nothing to install. Open the hosted link, enter the shared passphrase, and pick a section from the left sidebar. Selecting a tool loads it in the main panel; Back returns to the section menu.</w:t>
      </w:r>
    </w:p>
    <w:p w14:paraId="5F93AD58" w14:textId="77777777" w:rsidR="00F5778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Access.  </w:t>
      </w:r>
      <w:r>
        <w:t>The app is gated by a single team passphrase. There are no individual accounts; anyone with the link and passphrase can use every tool.</w:t>
      </w:r>
    </w:p>
    <w:p w14:paraId="3F6DE6EE" w14:textId="77777777" w:rsidR="00F5778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Two ways to load a file.  </w:t>
      </w:r>
      <w:r>
        <w:t>Drag and drop or browse via the sidebar uploader, or use "...or select from folder" to pick a file already in the app working directory.</w:t>
      </w:r>
    </w:p>
    <w:p w14:paraId="764109C1" w14:textId="77777777" w:rsidR="00F5778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Save this build.  </w:t>
      </w:r>
      <w:r>
        <w:t>"Download this version" zips the exact running codebase, so you keep a working local copy even if the hosted app is later changed.</w:t>
      </w:r>
    </w:p>
    <w:p w14:paraId="38203463" w14:textId="77777777" w:rsidR="00F5778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Reruns.  </w:t>
      </w:r>
      <w:proofErr w:type="spellStart"/>
      <w:r>
        <w:t>Streamlit</w:t>
      </w:r>
      <w:proofErr w:type="spellEnd"/>
      <w:r>
        <w:t xml:space="preserve"> re-runs the whole script on every input change; a brief flash as charts rebuild is normal, not a crash.</w:t>
      </w:r>
    </w:p>
    <w:p w14:paraId="46869CCC" w14:textId="77777777" w:rsidR="00F57784" w:rsidRDefault="00F57784">
      <w:pPr>
        <w:pBdr>
          <w:bottom w:val="single" w:sz="8" w:space="0" w:color="3C533C"/>
        </w:pBdr>
        <w:spacing w:before="40" w:after="160"/>
      </w:pPr>
    </w:p>
    <w:p w14:paraId="353A07FD" w14:textId="77777777" w:rsidR="00F57784" w:rsidRDefault="00000000">
      <w:pPr>
        <w:pStyle w:val="Heading1"/>
        <w:spacing w:before="320" w:after="140"/>
      </w:pPr>
      <w:bookmarkStart w:id="2" w:name="_Toc239940718"/>
      <w:r>
        <w:t>3.  File input types</w:t>
      </w:r>
      <w:bookmarkEnd w:id="2"/>
    </w:p>
    <w:p w14:paraId="0E515280" w14:textId="77777777" w:rsidR="00F57784" w:rsidRDefault="00000000">
      <w:pPr>
        <w:spacing w:after="140" w:line="276" w:lineRule="auto"/>
      </w:pPr>
      <w:r>
        <w:t xml:space="preserve">The toolkit reads three data formats plus two kinds of saved-settings file. Which formats a tool accepts depends on what it does: the sample and </w:t>
      </w:r>
      <w:proofErr w:type="spellStart"/>
      <w:r>
        <w:t>geostatistics</w:t>
      </w:r>
      <w:proofErr w:type="spellEnd"/>
      <w:r>
        <w:t xml:space="preserve"> tools speak native Datamine, while the QA/QC tools lean toward the CSV and Excel exports that laboratories </w:t>
      </w:r>
      <w:proofErr w:type="gramStart"/>
      <w:r>
        <w:t>actually send</w:t>
      </w:r>
      <w:proofErr w:type="gram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1500"/>
        <w:gridCol w:w="3010"/>
        <w:gridCol w:w="3500"/>
      </w:tblGrid>
      <w:tr w:rsidR="00F57784" w14:paraId="3EEFEE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6A6F4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lastRenderedPageBreak/>
              <w:t>Format</w:t>
            </w:r>
          </w:p>
        </w:tc>
        <w:tc>
          <w:tcPr>
            <w:tcW w:w="1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FD029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Extension</w:t>
            </w:r>
          </w:p>
        </w:tc>
        <w:tc>
          <w:tcPr>
            <w:tcW w:w="301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16F7D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Accepted by</w:t>
            </w:r>
          </w:p>
        </w:tc>
        <w:tc>
          <w:tcPr>
            <w:tcW w:w="3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EE9E7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Notes</w:t>
            </w:r>
          </w:p>
        </w:tc>
      </w:tr>
      <w:tr w:rsidR="00F57784" w14:paraId="13C439E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8D40B9" w14:textId="77777777" w:rsidR="00F57784" w:rsidRDefault="00000000">
            <w:r>
              <w:rPr>
                <w:b/>
                <w:bCs/>
              </w:rPr>
              <w:t>CSV</w:t>
            </w:r>
          </w:p>
        </w:tc>
        <w:tc>
          <w:tcPr>
            <w:tcW w:w="1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F8A94F" w14:textId="77777777" w:rsidR="00F57784" w:rsidRDefault="00000000">
            <w:r>
              <w:rPr>
                <w:rFonts w:ascii="Consolas" w:eastAsia="Consolas" w:hAnsi="Consolas" w:cs="Consolas"/>
                <w:color w:val="2B3D2E"/>
                <w:sz w:val="18"/>
                <w:szCs w:val="18"/>
              </w:rPr>
              <w:t>.csv</w:t>
            </w:r>
          </w:p>
        </w:tc>
        <w:tc>
          <w:tcPr>
            <w:tcW w:w="301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842D10" w14:textId="77777777" w:rsidR="00F57784" w:rsidRDefault="00000000">
            <w:r>
              <w:t>Every tool</w:t>
            </w:r>
          </w:p>
        </w:tc>
        <w:tc>
          <w:tcPr>
            <w:tcW w:w="3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C1B833" w14:textId="77777777" w:rsidR="00F57784" w:rsidRDefault="00000000">
            <w:r>
              <w:t>The universal format. Any Excel sheet or Datamine table can be exported to CSV and read here.</w:t>
            </w:r>
          </w:p>
        </w:tc>
      </w:tr>
      <w:tr w:rsidR="00F57784" w14:paraId="73A5A19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EDD6F6" w14:textId="77777777" w:rsidR="00F57784" w:rsidRDefault="00000000">
            <w:r>
              <w:rPr>
                <w:b/>
                <w:bCs/>
              </w:rPr>
              <w:t>Datamine</w:t>
            </w:r>
          </w:p>
        </w:tc>
        <w:tc>
          <w:tcPr>
            <w:tcW w:w="1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5C943A" w14:textId="77777777" w:rsidR="00F57784" w:rsidRDefault="00000000">
            <w:r>
              <w:rPr>
                <w:rFonts w:ascii="Consolas" w:eastAsia="Consolas" w:hAnsi="Consolas" w:cs="Consolas"/>
                <w:color w:val="2B3D2E"/>
                <w:sz w:val="18"/>
                <w:szCs w:val="18"/>
              </w:rPr>
              <w:t>.dm</w:t>
            </w:r>
          </w:p>
        </w:tc>
        <w:tc>
          <w:tcPr>
            <w:tcW w:w="301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AF4E62" w14:textId="77777777" w:rsidR="00F57784" w:rsidRDefault="00000000">
            <w:r>
              <w:t xml:space="preserve">Plotting, Sample, </w:t>
            </w:r>
            <w:proofErr w:type="spellStart"/>
            <w:r>
              <w:t>Geostats</w:t>
            </w:r>
            <w:proofErr w:type="spellEnd"/>
            <w:r>
              <w:t>, Block model</w:t>
            </w:r>
          </w:p>
        </w:tc>
        <w:tc>
          <w:tcPr>
            <w:tcW w:w="3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5EF339" w14:textId="77777777" w:rsidR="00F57784" w:rsidRDefault="00000000">
            <w:r>
              <w:t>Native Datamine data files, read directly with no export step.</w:t>
            </w:r>
          </w:p>
        </w:tc>
      </w:tr>
      <w:tr w:rsidR="00F57784" w14:paraId="230A234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349CBC" w14:textId="77777777" w:rsidR="00F57784" w:rsidRDefault="00000000">
            <w:r>
              <w:rPr>
                <w:b/>
                <w:bCs/>
              </w:rPr>
              <w:t>Excel</w:t>
            </w:r>
          </w:p>
        </w:tc>
        <w:tc>
          <w:tcPr>
            <w:tcW w:w="1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6D9669" w14:textId="77777777" w:rsidR="00F57784" w:rsidRDefault="00000000">
            <w:r>
              <w:rPr>
                <w:rFonts w:ascii="Consolas" w:eastAsia="Consolas" w:hAnsi="Consolas" w:cs="Consolas"/>
                <w:color w:val="2B3D2E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B3D2E"/>
                <w:sz w:val="18"/>
                <w:szCs w:val="18"/>
              </w:rPr>
              <w:t>xlsx  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B3D2E"/>
                <w:sz w:val="18"/>
                <w:szCs w:val="18"/>
              </w:rPr>
              <w:t>xls</w:t>
            </w:r>
            <w:proofErr w:type="spellEnd"/>
          </w:p>
        </w:tc>
        <w:tc>
          <w:tcPr>
            <w:tcW w:w="301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302A3D" w14:textId="77777777" w:rsidR="00F57784" w:rsidRDefault="00000000">
            <w:r>
              <w:t>All QA/QC tools; Data Verification (</w:t>
            </w:r>
            <w:r>
              <w:rPr>
                <w:rFonts w:ascii="Consolas" w:eastAsia="Consolas" w:hAnsi="Consolas" w:cs="Consolas"/>
                <w:color w:val="2B3D2E"/>
                <w:sz w:val="18"/>
                <w:szCs w:val="18"/>
              </w:rPr>
              <w:t>.xlsx / .</w:t>
            </w:r>
            <w:proofErr w:type="spellStart"/>
            <w:r>
              <w:rPr>
                <w:rFonts w:ascii="Consolas" w:eastAsia="Consolas" w:hAnsi="Consolas" w:cs="Consolas"/>
                <w:color w:val="2B3D2E"/>
                <w:sz w:val="18"/>
                <w:szCs w:val="18"/>
              </w:rPr>
              <w:t>xlsm</w:t>
            </w:r>
            <w:proofErr w:type="spellEnd"/>
            <w:r>
              <w:t>)</w:t>
            </w:r>
          </w:p>
        </w:tc>
        <w:tc>
          <w:tcPr>
            <w:tcW w:w="3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D135D0" w14:textId="77777777" w:rsidR="00F57784" w:rsidRDefault="00000000">
            <w:r>
              <w:t>Read straight from the workbook, so lab certificates need no Save As CSV.</w:t>
            </w:r>
          </w:p>
        </w:tc>
      </w:tr>
      <w:tr w:rsidR="00F57784" w14:paraId="373F131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F78BBE" w14:textId="77777777" w:rsidR="00F57784" w:rsidRDefault="00000000">
            <w:r>
              <w:rPr>
                <w:b/>
                <w:bCs/>
              </w:rPr>
              <w:t>Config</w:t>
            </w:r>
          </w:p>
        </w:tc>
        <w:tc>
          <w:tcPr>
            <w:tcW w:w="1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B8E005" w14:textId="77777777" w:rsidR="00F57784" w:rsidRDefault="00000000">
            <w:proofErr w:type="gramStart"/>
            <w:r>
              <w:rPr>
                <w:rFonts w:ascii="Consolas" w:eastAsia="Consolas" w:hAnsi="Consolas" w:cs="Consolas"/>
                <w:color w:val="2B3D2E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2B3D2E"/>
                <w:sz w:val="18"/>
                <w:szCs w:val="18"/>
              </w:rPr>
              <w:t>json</w:t>
            </w:r>
            <w:proofErr w:type="spellEnd"/>
            <w:proofErr w:type="gramEnd"/>
          </w:p>
        </w:tc>
        <w:tc>
          <w:tcPr>
            <w:tcW w:w="301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772483" w14:textId="77777777" w:rsidR="00F57784" w:rsidRDefault="00000000">
            <w:r>
              <w:t>QA/QC tools</w:t>
            </w:r>
          </w:p>
        </w:tc>
        <w:tc>
          <w:tcPr>
            <w:tcW w:w="3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C0A9CD" w14:textId="77777777" w:rsidR="00F57784" w:rsidRDefault="00000000">
            <w:r>
              <w:t>Saves column mapping and filter choices. "Download config JSON" to keep it, "Load config" to restore it.</w:t>
            </w:r>
          </w:p>
        </w:tc>
      </w:tr>
      <w:tr w:rsidR="00F57784" w14:paraId="14D8A08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CCF9C2" w14:textId="77777777" w:rsidR="00F57784" w:rsidRDefault="00000000">
            <w:r>
              <w:rPr>
                <w:b/>
                <w:bCs/>
              </w:rPr>
              <w:t>Settings</w:t>
            </w:r>
          </w:p>
        </w:tc>
        <w:tc>
          <w:tcPr>
            <w:tcW w:w="1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964020" w14:textId="77777777" w:rsidR="00F57784" w:rsidRDefault="00000000">
            <w:r>
              <w:rPr>
                <w:rFonts w:ascii="Consolas" w:eastAsia="Consolas" w:hAnsi="Consolas" w:cs="Consolas"/>
                <w:color w:val="2B3D2E"/>
                <w:sz w:val="18"/>
                <w:szCs w:val="18"/>
              </w:rPr>
              <w:t>folder file</w:t>
            </w:r>
          </w:p>
        </w:tc>
        <w:tc>
          <w:tcPr>
            <w:tcW w:w="301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26CB63" w14:textId="77777777" w:rsidR="00F57784" w:rsidRDefault="00000000">
            <w:r>
              <w:t>Capping, Statistics, Contact, DDH Spacing</w:t>
            </w:r>
          </w:p>
        </w:tc>
        <w:tc>
          <w:tcPr>
            <w:tcW w:w="3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5584E9" w14:textId="77777777" w:rsidR="00F57784" w:rsidRDefault="00000000">
            <w:r>
              <w:t>"Load Settings" recalls a saved parameter preset from the working folder.</w:t>
            </w:r>
          </w:p>
        </w:tc>
      </w:tr>
    </w:tbl>
    <w:p w14:paraId="5592681A" w14:textId="77777777" w:rsidR="00F57784" w:rsidRDefault="00000000">
      <w:pPr>
        <w:pStyle w:val="Heading2"/>
        <w:spacing w:before="240" w:after="90"/>
      </w:pPr>
      <w:bookmarkStart w:id="3" w:name="_Toc239940719"/>
      <w:r>
        <w:t>The tools meet messy files halfway</w:t>
      </w:r>
      <w:bookmarkEnd w:id="3"/>
    </w:p>
    <w:p w14:paraId="6CB09538" w14:textId="77777777" w:rsidR="00F5778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Automatic column mapping.  </w:t>
      </w:r>
      <w:r>
        <w:t>On upload, each QA/QC tool guesses which column is Lab, Element, Value, Date, Unit, CRM, Expected Value or SD, tolerant of case and spacing ("Analyte" maps to Element, "</w:t>
      </w:r>
      <w:proofErr w:type="spellStart"/>
      <w:r>
        <w:t>Assay_Result</w:t>
      </w:r>
      <w:proofErr w:type="spellEnd"/>
      <w:r>
        <w:t>" to Value, "certified value" to Expected). Override any guess manually.</w:t>
      </w:r>
    </w:p>
    <w:p w14:paraId="4D597523" w14:textId="77777777" w:rsidR="00F5778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Wide to long reshape.  </w:t>
      </w:r>
      <w:r>
        <w:t>A file with one column block per element (</w:t>
      </w:r>
      <w:proofErr w:type="spellStart"/>
      <w:r>
        <w:t>Au_EV</w:t>
      </w:r>
      <w:proofErr w:type="spellEnd"/>
      <w:r>
        <w:t xml:space="preserve">, </w:t>
      </w:r>
      <w:proofErr w:type="spellStart"/>
      <w:r>
        <w:t>Au_SD</w:t>
      </w:r>
      <w:proofErr w:type="spellEnd"/>
      <w:r>
        <w:t xml:space="preserve">, </w:t>
      </w:r>
      <w:proofErr w:type="spellStart"/>
      <w:r>
        <w:t>Au_or_ppm</w:t>
      </w:r>
      <w:proofErr w:type="spellEnd"/>
      <w:r>
        <w:t xml:space="preserve">, </w:t>
      </w:r>
      <w:proofErr w:type="spellStart"/>
      <w:r>
        <w:t>Ag_EV</w:t>
      </w:r>
      <w:proofErr w:type="spellEnd"/>
      <w:r>
        <w:t xml:space="preserve"> and so on) triggers a sidebar prompt to reshape it into the long Element/Value format the tools expect.</w:t>
      </w:r>
    </w:p>
    <w:p w14:paraId="7BEF99DA" w14:textId="77777777" w:rsidR="00F5778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Detection limits.  </w:t>
      </w:r>
      <w:r>
        <w:t>In Data Verification, censored lab values convert to numbers automatically: "&lt;0.5" becomes half the limit (0.25), "&gt;10000" becomes the limit, so they compare arithmetically.</w:t>
      </w:r>
    </w:p>
    <w:p w14:paraId="31EE2DBE" w14:textId="77777777" w:rsidR="00F5778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Field guessing.  </w:t>
      </w:r>
      <w:r>
        <w:t>Sample tools recognise common coordinate and key names on sight, including X/Y/Z, EAST/NORTH/ELEV, BHID, HOLEID, LENGTH and ZONE/DOMAIN/ROCK, and pre-fill the field pickers.</w:t>
      </w:r>
    </w:p>
    <w:p w14:paraId="195D9B15" w14:textId="77777777" w:rsidR="00F57784" w:rsidRDefault="00F57784">
      <w:pPr>
        <w:pBdr>
          <w:bottom w:val="single" w:sz="8" w:space="0" w:color="3C533C"/>
        </w:pBdr>
        <w:spacing w:before="40" w:after="160"/>
      </w:pPr>
    </w:p>
    <w:p w14:paraId="37132BED" w14:textId="77777777" w:rsidR="00F57784" w:rsidRDefault="00000000">
      <w:pPr>
        <w:pStyle w:val="Heading1"/>
        <w:spacing w:before="320" w:after="140"/>
      </w:pPr>
      <w:bookmarkStart w:id="4" w:name="_Toc239940720"/>
      <w:r>
        <w:t>4.  Tool reference</w:t>
      </w:r>
      <w:bookmarkEnd w:id="4"/>
    </w:p>
    <w:p w14:paraId="7588FEE2" w14:textId="77777777" w:rsidR="00F57784" w:rsidRDefault="00000000">
      <w:pPr>
        <w:spacing w:after="140" w:line="276" w:lineRule="auto"/>
      </w:pPr>
      <w:proofErr w:type="gramStart"/>
      <w:r>
        <w:t>Every tool,</w:t>
      </w:r>
      <w:proofErr w:type="gramEnd"/>
      <w:r>
        <w:t xml:space="preserve"> grouped exactly as it appears in the sidebar. Each row lists what you feed it, the choices that matter, and what comes out. Fields shown in a fixed-width font are columns you map from your file.</w:t>
      </w:r>
    </w:p>
    <w:p w14:paraId="23A71180" w14:textId="77777777" w:rsidR="00F57784" w:rsidRDefault="00000000">
      <w:pPr>
        <w:pStyle w:val="Heading2"/>
        <w:spacing w:before="240" w:after="90"/>
      </w:pPr>
      <w:bookmarkStart w:id="5" w:name="_Toc239940721"/>
      <w:r>
        <w:t>Plotting Tools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950"/>
        <w:gridCol w:w="3210"/>
        <w:gridCol w:w="1500"/>
      </w:tblGrid>
      <w:tr w:rsidR="00F57784" w14:paraId="1C823F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71678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Tool</w:t>
            </w:r>
          </w:p>
        </w:tc>
        <w:tc>
          <w:tcPr>
            <w:tcW w:w="295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5D18F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Purpose</w:t>
            </w:r>
          </w:p>
        </w:tc>
        <w:tc>
          <w:tcPr>
            <w:tcW w:w="321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53E3A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You map</w:t>
            </w:r>
          </w:p>
        </w:tc>
        <w:tc>
          <w:tcPr>
            <w:tcW w:w="1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12AC2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Output</w:t>
            </w:r>
          </w:p>
        </w:tc>
      </w:tr>
      <w:tr w:rsidR="00F57784" w14:paraId="0B3FCBA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D28D2B" w14:textId="77777777" w:rsidR="00F57784" w:rsidRDefault="00000000">
            <w:r>
              <w:rPr>
                <w:b/>
                <w:bCs/>
              </w:rPr>
              <w:t>Box Plot</w:t>
            </w:r>
          </w:p>
        </w:tc>
        <w:tc>
          <w:tcPr>
            <w:tcW w:w="295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7E8DF9" w14:textId="77777777" w:rsidR="00F57784" w:rsidRDefault="00000000">
            <w:r>
              <w:t>Grade distribution as box plots by domain and subdomain.</w:t>
            </w:r>
          </w:p>
        </w:tc>
        <w:tc>
          <w:tcPr>
            <w:tcW w:w="321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19841C" w14:textId="77777777" w:rsidR="00F57784" w:rsidRDefault="00000000">
            <w:r>
              <w:t>Grade, Domain, optional Subdomain; log option</w:t>
            </w:r>
          </w:p>
        </w:tc>
        <w:tc>
          <w:tcPr>
            <w:tcW w:w="1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EE33A3" w14:textId="77777777" w:rsidR="00F57784" w:rsidRDefault="00000000">
            <w:r>
              <w:t>Interactive chart</w:t>
            </w:r>
          </w:p>
        </w:tc>
      </w:tr>
      <w:tr w:rsidR="00F57784" w14:paraId="317BA3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74C4E6" w14:textId="77777777" w:rsidR="00F57784" w:rsidRDefault="00000000">
            <w:r>
              <w:rPr>
                <w:b/>
                <w:bCs/>
              </w:rPr>
              <w:t>Scatter Plot</w:t>
            </w:r>
          </w:p>
        </w:tc>
        <w:tc>
          <w:tcPr>
            <w:tcW w:w="295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B26F5C" w14:textId="77777777" w:rsidR="00F57784" w:rsidRDefault="00000000">
            <w:r>
              <w:t>Bivariate relationship between two variables.</w:t>
            </w:r>
          </w:p>
        </w:tc>
        <w:tc>
          <w:tcPr>
            <w:tcW w:w="321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672B62" w14:textId="77777777" w:rsidR="00F57784" w:rsidRDefault="00000000">
            <w:r>
              <w:t>Variable 1 and 2, colour-by, size-by, hover fields; log axes, marginals, colour scale</w:t>
            </w:r>
          </w:p>
        </w:tc>
        <w:tc>
          <w:tcPr>
            <w:tcW w:w="1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F83E52" w14:textId="77777777" w:rsidR="00F57784" w:rsidRDefault="00000000">
            <w:r>
              <w:t>Interactive chart</w:t>
            </w:r>
          </w:p>
        </w:tc>
      </w:tr>
      <w:tr w:rsidR="00F57784" w14:paraId="34F7A52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2A628A" w14:textId="77777777" w:rsidR="00F57784" w:rsidRDefault="00000000">
            <w:r>
              <w:rPr>
                <w:b/>
                <w:bCs/>
              </w:rPr>
              <w:t>Width Plot</w:t>
            </w:r>
          </w:p>
        </w:tc>
        <w:tc>
          <w:tcPr>
            <w:tcW w:w="295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1332E8" w14:textId="77777777" w:rsidR="00F57784" w:rsidRDefault="00000000">
            <w:r>
              <w:t>Variable-width bar chart, width and height each field-driven.</w:t>
            </w:r>
          </w:p>
        </w:tc>
        <w:tc>
          <w:tcPr>
            <w:tcW w:w="321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94C1FA" w14:textId="77777777" w:rsidR="00F57784" w:rsidRDefault="00000000">
            <w:r>
              <w:t>Width, Height, Labels; sort by height</w:t>
            </w:r>
          </w:p>
        </w:tc>
        <w:tc>
          <w:tcPr>
            <w:tcW w:w="1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E2698A" w14:textId="77777777" w:rsidR="00F57784" w:rsidRDefault="00000000">
            <w:r>
              <w:t>Interactive chart</w:t>
            </w:r>
          </w:p>
        </w:tc>
      </w:tr>
    </w:tbl>
    <w:p w14:paraId="1B88AB95" w14:textId="77777777" w:rsidR="00F57784" w:rsidRDefault="00000000">
      <w:pPr>
        <w:pStyle w:val="Heading2"/>
        <w:spacing w:before="240" w:after="90"/>
      </w:pPr>
      <w:bookmarkStart w:id="6" w:name="_Toc239940722"/>
      <w:r>
        <w:t>Sample Tools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950"/>
        <w:gridCol w:w="3210"/>
        <w:gridCol w:w="1500"/>
      </w:tblGrid>
      <w:tr w:rsidR="00F57784" w14:paraId="5D7C2C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B2CBF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lastRenderedPageBreak/>
              <w:t>Tool</w:t>
            </w:r>
          </w:p>
        </w:tc>
        <w:tc>
          <w:tcPr>
            <w:tcW w:w="295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08F60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Purpose</w:t>
            </w:r>
          </w:p>
        </w:tc>
        <w:tc>
          <w:tcPr>
            <w:tcW w:w="321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9369B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You map</w:t>
            </w:r>
          </w:p>
        </w:tc>
        <w:tc>
          <w:tcPr>
            <w:tcW w:w="1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0C542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Output</w:t>
            </w:r>
          </w:p>
        </w:tc>
      </w:tr>
      <w:tr w:rsidR="00F57784" w14:paraId="3DB31F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C3F4D3" w14:textId="77777777" w:rsidR="00F57784" w:rsidRDefault="00000000">
            <w:r>
              <w:rPr>
                <w:b/>
                <w:bCs/>
              </w:rPr>
              <w:t>Statistics</w:t>
            </w:r>
          </w:p>
        </w:tc>
        <w:tc>
          <w:tcPr>
            <w:tcW w:w="295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944A0D" w14:textId="77777777" w:rsidR="00F57784" w:rsidRDefault="00000000">
            <w:r>
              <w:t>Descriptive statistics per domain, weighted or unweighted.</w:t>
            </w:r>
          </w:p>
        </w:tc>
        <w:tc>
          <w:tcPr>
            <w:tcW w:w="321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E990E4" w14:textId="77777777" w:rsidR="00F57784" w:rsidRDefault="00000000">
            <w:r>
              <w:t>Grade Fields (many), Domain, Weight; invalid-number handling</w:t>
            </w:r>
          </w:p>
        </w:tc>
        <w:tc>
          <w:tcPr>
            <w:tcW w:w="1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684F32" w14:textId="77777777" w:rsidR="00F57784" w:rsidRDefault="00000000">
            <w:r>
              <w:t>Statistics table</w:t>
            </w:r>
          </w:p>
        </w:tc>
      </w:tr>
      <w:tr w:rsidR="00F57784" w14:paraId="165E28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21432" w14:textId="77777777" w:rsidR="00F57784" w:rsidRDefault="00000000">
            <w:r>
              <w:rPr>
                <w:b/>
                <w:bCs/>
              </w:rPr>
              <w:t>Capping Analysis</w:t>
            </w:r>
          </w:p>
        </w:tc>
        <w:tc>
          <w:tcPr>
            <w:tcW w:w="295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8D7C01" w14:textId="77777777" w:rsidR="00F57784" w:rsidRDefault="00000000">
            <w:r>
              <w:t>Choose the grade top-cut for a domain and read its impact.</w:t>
            </w:r>
          </w:p>
        </w:tc>
        <w:tc>
          <w:tcPr>
            <w:tcW w:w="321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DB3B41" w14:textId="77777777" w:rsidR="00F57784" w:rsidRDefault="00000000">
            <w:r>
              <w:t>Grade + unit (g/t, %, ppm, ppb, oz/t), XYZ, Domain filter, Weight</w:t>
            </w:r>
          </w:p>
        </w:tc>
        <w:tc>
          <w:tcPr>
            <w:tcW w:w="1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7D276D" w14:textId="77777777" w:rsidR="00F57784" w:rsidRDefault="00000000">
            <w:r>
              <w:t>Capping levels + metal-loss</w:t>
            </w:r>
          </w:p>
        </w:tc>
      </w:tr>
      <w:tr w:rsidR="00F57784" w14:paraId="121F9EB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5721B8" w14:textId="77777777" w:rsidR="00F57784" w:rsidRDefault="00000000">
            <w:r>
              <w:rPr>
                <w:b/>
                <w:bCs/>
              </w:rPr>
              <w:t>Uncapped vs Capped</w:t>
            </w:r>
          </w:p>
        </w:tc>
        <w:tc>
          <w:tcPr>
            <w:tcW w:w="295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B555F9" w14:textId="77777777" w:rsidR="00F57784" w:rsidRDefault="00000000">
            <w:r>
              <w:t>Grade distribution before versus after capping.</w:t>
            </w:r>
          </w:p>
        </w:tc>
        <w:tc>
          <w:tcPr>
            <w:tcW w:w="321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B03242" w14:textId="77777777" w:rsidR="00F57784" w:rsidRDefault="00000000">
            <w:r>
              <w:t>Uncapped, Capped, Domain, Weight; sort order</w:t>
            </w:r>
          </w:p>
        </w:tc>
        <w:tc>
          <w:tcPr>
            <w:tcW w:w="1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84F109" w14:textId="77777777" w:rsidR="00F57784" w:rsidRDefault="00000000">
            <w:r>
              <w:t>Comparison chart</w:t>
            </w:r>
          </w:p>
        </w:tc>
      </w:tr>
      <w:tr w:rsidR="00F57784" w14:paraId="02B4CE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17BD85" w14:textId="77777777" w:rsidR="00F57784" w:rsidRDefault="00000000">
            <w:r>
              <w:rPr>
                <w:b/>
                <w:bCs/>
              </w:rPr>
              <w:t>Contact Analysis</w:t>
            </w:r>
          </w:p>
        </w:tc>
        <w:tc>
          <w:tcPr>
            <w:tcW w:w="295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CE939F" w14:textId="77777777" w:rsidR="00F57784" w:rsidRDefault="00000000">
            <w:r>
              <w:t>Grade profile across a rock-type boundary (hard, soft, transitional).</w:t>
            </w:r>
          </w:p>
        </w:tc>
        <w:tc>
          <w:tcPr>
            <w:tcW w:w="321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0221B6" w14:textId="77777777" w:rsidR="00F57784" w:rsidRDefault="00000000">
            <w:r>
              <w:t>Grade, XYZ, Domain, Rock 1, Rock 2</w:t>
            </w:r>
          </w:p>
        </w:tc>
        <w:tc>
          <w:tcPr>
            <w:tcW w:w="1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D432FC" w14:textId="77777777" w:rsidR="00F57784" w:rsidRDefault="00000000">
            <w:r>
              <w:t>Contact plot</w:t>
            </w:r>
          </w:p>
        </w:tc>
      </w:tr>
      <w:tr w:rsidR="00F57784" w14:paraId="64E5FFE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68C617" w14:textId="77777777" w:rsidR="00F57784" w:rsidRDefault="00000000">
            <w:r>
              <w:rPr>
                <w:b/>
                <w:bCs/>
              </w:rPr>
              <w:t>DDH Spacing</w:t>
            </w:r>
          </w:p>
        </w:tc>
        <w:tc>
          <w:tcPr>
            <w:tcW w:w="295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845000" w14:textId="77777777" w:rsidR="00F57784" w:rsidRDefault="00000000">
            <w:r>
              <w:t>Nearest-neighbour drillhole spacing per domain.</w:t>
            </w:r>
          </w:p>
        </w:tc>
        <w:tc>
          <w:tcPr>
            <w:tcW w:w="321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FDF347" w14:textId="77777777" w:rsidR="00F57784" w:rsidRDefault="00000000">
            <w:r>
              <w:t>Hole ID, XYZ, Domain</w:t>
            </w:r>
          </w:p>
        </w:tc>
        <w:tc>
          <w:tcPr>
            <w:tcW w:w="1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6ADE7B" w14:textId="77777777" w:rsidR="00F57784" w:rsidRDefault="00000000">
            <w:r>
              <w:t>Spacing stats + plot</w:t>
            </w:r>
          </w:p>
        </w:tc>
      </w:tr>
      <w:tr w:rsidR="00F57784" w14:paraId="69C5A8B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973E6C" w14:textId="77777777" w:rsidR="00F57784" w:rsidRDefault="00000000">
            <w:r>
              <w:rPr>
                <w:b/>
                <w:bCs/>
              </w:rPr>
              <w:t>Thin DDH Spacing</w:t>
            </w:r>
          </w:p>
        </w:tc>
        <w:tc>
          <w:tcPr>
            <w:tcW w:w="295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29897" w14:textId="77777777" w:rsidR="00F57784" w:rsidRDefault="00000000">
            <w:r>
              <w:t>Spacing tuned for thin, narrow-vein samples.</w:t>
            </w:r>
          </w:p>
        </w:tc>
        <w:tc>
          <w:tcPr>
            <w:tcW w:w="321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E4AD26" w14:textId="77777777" w:rsidR="00F57784" w:rsidRDefault="00000000">
            <w:r>
              <w:t>Hole ID, XYZ</w:t>
            </w:r>
          </w:p>
        </w:tc>
        <w:tc>
          <w:tcPr>
            <w:tcW w:w="1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D371E8" w14:textId="77777777" w:rsidR="00F57784" w:rsidRDefault="00000000">
            <w:r>
              <w:t>Spacing analysis</w:t>
            </w:r>
          </w:p>
        </w:tc>
      </w:tr>
    </w:tbl>
    <w:p w14:paraId="5EE69A12" w14:textId="77777777" w:rsidR="00F57784" w:rsidRDefault="00000000">
      <w:pPr>
        <w:spacing w:after="200" w:line="276" w:lineRule="auto"/>
      </w:pPr>
      <w:r>
        <w:rPr>
          <w:i/>
          <w:iCs/>
          <w:color w:val="49514A"/>
          <w:sz w:val="19"/>
          <w:szCs w:val="19"/>
        </w:rPr>
        <w:t>Capping Analysis offers five linked views: Summary, 3D, Orthogonal data view, Decile Analysis, Log-Probability plot and Histogram.</w:t>
      </w:r>
    </w:p>
    <w:p w14:paraId="4FB18EB6" w14:textId="77777777" w:rsidR="00F57784" w:rsidRDefault="00000000">
      <w:pPr>
        <w:pStyle w:val="Heading2"/>
        <w:spacing w:before="240" w:after="90"/>
      </w:pPr>
      <w:bookmarkStart w:id="7" w:name="_Toc239940723"/>
      <w:r>
        <w:t>Block Model Tools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700"/>
        <w:gridCol w:w="3760"/>
      </w:tblGrid>
      <w:tr w:rsidR="00F57784" w14:paraId="53ACE9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CC4B7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Tool</w:t>
            </w:r>
          </w:p>
        </w:tc>
        <w:tc>
          <w:tcPr>
            <w:tcW w:w="3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39034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Purpose</w:t>
            </w:r>
          </w:p>
        </w:tc>
        <w:tc>
          <w:tcPr>
            <w:tcW w:w="37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FC7B3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Output</w:t>
            </w:r>
          </w:p>
        </w:tc>
      </w:tr>
      <w:tr w:rsidR="00F57784" w14:paraId="3D21C7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802A69" w14:textId="77777777" w:rsidR="00F57784" w:rsidRDefault="00000000">
            <w:r>
              <w:rPr>
                <w:b/>
                <w:bCs/>
              </w:rPr>
              <w:t>Convert Rotations</w:t>
            </w:r>
          </w:p>
        </w:tc>
        <w:tc>
          <w:tcPr>
            <w:tcW w:w="3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E7D163" w14:textId="77777777" w:rsidR="00F57784" w:rsidRDefault="00000000">
            <w:r>
              <w:t>Convert block-model rotation angles between software conventions, so orientations survive a package change.</w:t>
            </w:r>
          </w:p>
        </w:tc>
        <w:tc>
          <w:tcPr>
            <w:tcW w:w="37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58BB99" w14:textId="77777777" w:rsidR="00F57784" w:rsidRDefault="00000000">
            <w:r>
              <w:t>Converted angles</w:t>
            </w:r>
          </w:p>
        </w:tc>
      </w:tr>
    </w:tbl>
    <w:p w14:paraId="53EF816B" w14:textId="77777777" w:rsidR="00F57784" w:rsidRDefault="00000000">
      <w:pPr>
        <w:pStyle w:val="Heading2"/>
        <w:spacing w:before="240" w:after="90"/>
      </w:pPr>
      <w:bookmarkStart w:id="8" w:name="_Toc239940724"/>
      <w:proofErr w:type="spellStart"/>
      <w:r>
        <w:t>Geostats</w:t>
      </w:r>
      <w:proofErr w:type="spellEnd"/>
      <w:r>
        <w:t xml:space="preserve"> Tools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700"/>
        <w:gridCol w:w="3760"/>
      </w:tblGrid>
      <w:tr w:rsidR="00F57784" w14:paraId="1C04BD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4D2BE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Tool</w:t>
            </w:r>
          </w:p>
        </w:tc>
        <w:tc>
          <w:tcPr>
            <w:tcW w:w="3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599F1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Purpose</w:t>
            </w:r>
          </w:p>
        </w:tc>
        <w:tc>
          <w:tcPr>
            <w:tcW w:w="37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F8101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Output</w:t>
            </w:r>
          </w:p>
        </w:tc>
      </w:tr>
      <w:tr w:rsidR="00F57784" w14:paraId="2F4AA3C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ECBC01" w14:textId="77777777" w:rsidR="00F57784" w:rsidRDefault="00000000">
            <w:proofErr w:type="spellStart"/>
            <w:r>
              <w:rPr>
                <w:b/>
                <w:bCs/>
              </w:rPr>
              <w:t>Gammabar</w:t>
            </w:r>
            <w:proofErr w:type="spellEnd"/>
            <w:r>
              <w:rPr>
                <w:b/>
                <w:bCs/>
              </w:rPr>
              <w:t xml:space="preserve"> Plot</w:t>
            </w:r>
          </w:p>
        </w:tc>
        <w:tc>
          <w:tcPr>
            <w:tcW w:w="3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F57ABC" w14:textId="77777777" w:rsidR="00F57784" w:rsidRDefault="00000000">
            <w:r>
              <w:t xml:space="preserve">GSLIB </w:t>
            </w:r>
            <w:proofErr w:type="spellStart"/>
            <w:r>
              <w:t>gammabar</w:t>
            </w:r>
            <w:proofErr w:type="spellEnd"/>
            <w:r>
              <w:t xml:space="preserve">, the mean variogram value over a block, for change-of-support work. Set block </w:t>
            </w:r>
            <w:proofErr w:type="spellStart"/>
            <w:r>
              <w:t>discretisation</w:t>
            </w:r>
            <w:proofErr w:type="spellEnd"/>
            <w:r>
              <w:t xml:space="preserve"> X/Y/Z, rotations (GSLIB convention), nugget and structures (type, sill C, ranges).</w:t>
            </w:r>
          </w:p>
        </w:tc>
        <w:tc>
          <w:tcPr>
            <w:tcW w:w="37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724841" w14:textId="77777777" w:rsidR="00F57784" w:rsidRDefault="00000000">
            <w:proofErr w:type="spellStart"/>
            <w:r>
              <w:t>Gammabar</w:t>
            </w:r>
            <w:proofErr w:type="spellEnd"/>
            <w:r>
              <w:t xml:space="preserve"> plot</w:t>
            </w:r>
          </w:p>
        </w:tc>
      </w:tr>
    </w:tbl>
    <w:p w14:paraId="5D7AE688" w14:textId="77777777" w:rsidR="00F57784" w:rsidRDefault="00000000">
      <w:pPr>
        <w:pStyle w:val="Heading2"/>
        <w:spacing w:before="240" w:after="90"/>
      </w:pPr>
      <w:bookmarkStart w:id="9" w:name="_Toc239940725"/>
      <w:r>
        <w:t>QA/QC</w:t>
      </w:r>
      <w:bookmarkEnd w:id="9"/>
    </w:p>
    <w:p w14:paraId="4EEAE14C" w14:textId="77777777" w:rsidR="00F57784" w:rsidRDefault="00000000">
      <w:pPr>
        <w:spacing w:after="140" w:line="276" w:lineRule="auto"/>
      </w:pPr>
      <w:r>
        <w:t xml:space="preserve">The five control-sample tools share a rhythm: upload a CSV or Excel export, confirm the auto-mapped columns, filter to the labs and elements you care about, click Run, then export. Each produces an on-screen summary table plus downloadable Excel and PowerPoint </w:t>
      </w:r>
      <w:proofErr w:type="gramStart"/>
      <w:r>
        <w:t>reports, and</w:t>
      </w:r>
      <w:proofErr w:type="gramEnd"/>
      <w:r>
        <w:t xml:space="preserve"> can save its setup as a config JSON.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260"/>
        <w:gridCol w:w="4400"/>
      </w:tblGrid>
      <w:tr w:rsidR="00F57784" w14:paraId="040901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1FE0C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Tool</w:t>
            </w:r>
          </w:p>
        </w:tc>
        <w:tc>
          <w:tcPr>
            <w:tcW w:w="32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BD93E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Purpose</w:t>
            </w:r>
          </w:p>
        </w:tc>
        <w:tc>
          <w:tcPr>
            <w:tcW w:w="44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9F2EB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You map</w:t>
            </w:r>
          </w:p>
        </w:tc>
      </w:tr>
      <w:tr w:rsidR="00F57784" w14:paraId="4DE3A22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8E6D4B" w14:textId="77777777" w:rsidR="00F57784" w:rsidRDefault="00000000">
            <w:r>
              <w:rPr>
                <w:b/>
                <w:bCs/>
              </w:rPr>
              <w:t>Standards (CRM)</w:t>
            </w:r>
          </w:p>
        </w:tc>
        <w:tc>
          <w:tcPr>
            <w:tcW w:w="32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03D0FB" w14:textId="77777777" w:rsidR="00F57784" w:rsidRDefault="00000000">
            <w:r>
              <w:t>Control charts of measured grade against a reference material certified value plus or minus SD, per element over time.</w:t>
            </w:r>
          </w:p>
        </w:tc>
        <w:tc>
          <w:tcPr>
            <w:tcW w:w="44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74F4E4" w14:textId="77777777" w:rsidR="00F57784" w:rsidRDefault="00000000">
            <w:r>
              <w:t>Date, Grade, CRM, Element, Expected Value, Project, Lab, Unit, SD/limit columns; failure criteria at EV plus or minus 1, 2 or 3 SD</w:t>
            </w:r>
          </w:p>
        </w:tc>
      </w:tr>
      <w:tr w:rsidR="00F57784" w14:paraId="02449E3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D0650C" w14:textId="77777777" w:rsidR="00F57784" w:rsidRDefault="00000000">
            <w:r>
              <w:rPr>
                <w:b/>
                <w:bCs/>
              </w:rPr>
              <w:t>Blanks</w:t>
            </w:r>
          </w:p>
        </w:tc>
        <w:tc>
          <w:tcPr>
            <w:tcW w:w="32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C13DA6" w14:textId="77777777" w:rsidR="00F57784" w:rsidRDefault="00000000">
            <w:r>
              <w:t>Blank-sample contamination check, flagging carry-over above an expected floor.</w:t>
            </w:r>
          </w:p>
        </w:tc>
        <w:tc>
          <w:tcPr>
            <w:tcW w:w="44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66DD4D" w14:textId="77777777" w:rsidR="00F57784" w:rsidRDefault="00000000">
            <w:r>
              <w:t xml:space="preserve">Lab, Element, Value, Date, Unit, LOD/DL, </w:t>
            </w:r>
            <w:proofErr w:type="gramStart"/>
            <w:r>
              <w:t>Blank-type</w:t>
            </w:r>
            <w:proofErr w:type="gramEnd"/>
            <w:r>
              <w:t>; limits by constant per element or factor times LOD</w:t>
            </w:r>
          </w:p>
        </w:tc>
      </w:tr>
      <w:tr w:rsidR="00F57784" w14:paraId="14DB7FD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75F275" w14:textId="77777777" w:rsidR="00F57784" w:rsidRDefault="00000000">
            <w:r>
              <w:rPr>
                <w:b/>
                <w:bCs/>
              </w:rPr>
              <w:lastRenderedPageBreak/>
              <w:t>Duplicates</w:t>
            </w:r>
          </w:p>
        </w:tc>
        <w:tc>
          <w:tcPr>
            <w:tcW w:w="32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E32382" w14:textId="77777777" w:rsidR="00F57784" w:rsidRDefault="00000000">
            <w:r>
              <w:t>Precision of duplicate pairs: Thompson-Howarth, pair scatter and HARD.</w:t>
            </w:r>
          </w:p>
        </w:tc>
        <w:tc>
          <w:tcPr>
            <w:tcW w:w="44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D61B21" w14:textId="77777777" w:rsidR="00F57784" w:rsidRDefault="00000000">
            <w:r>
              <w:t>Lab, Duplicate-type, Element, Unit, Original and Duplicate values, Date</w:t>
            </w:r>
          </w:p>
        </w:tc>
      </w:tr>
      <w:tr w:rsidR="00F57784" w14:paraId="553A24F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C4B73F" w14:textId="77777777" w:rsidR="00F57784" w:rsidRDefault="00000000">
            <w:r>
              <w:rPr>
                <w:b/>
                <w:bCs/>
              </w:rPr>
              <w:t>Check Assays</w:t>
            </w:r>
          </w:p>
        </w:tc>
        <w:tc>
          <w:tcPr>
            <w:tcW w:w="32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B6B8B0" w14:textId="77777777" w:rsidR="00F57784" w:rsidRDefault="00000000">
            <w:r>
              <w:t>Primary versus secondary (umpire) laboratory comparison.</w:t>
            </w:r>
          </w:p>
        </w:tc>
        <w:tc>
          <w:tcPr>
            <w:tcW w:w="44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D818BF" w14:textId="77777777" w:rsidR="00F57784" w:rsidRDefault="00000000">
            <w:r>
              <w:t>Primary-lab, Secondary-lab, Element, Original and Duplicate assay, Unit, Type, Date</w:t>
            </w:r>
          </w:p>
        </w:tc>
      </w:tr>
      <w:tr w:rsidR="00F57784" w14:paraId="13DADC8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A7E4F4" w14:textId="77777777" w:rsidR="00F57784" w:rsidRDefault="00000000">
            <w:r>
              <w:rPr>
                <w:b/>
                <w:bCs/>
              </w:rPr>
              <w:t>Z-Score</w:t>
            </w:r>
          </w:p>
        </w:tc>
        <w:tc>
          <w:tcPr>
            <w:tcW w:w="32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072F57" w14:textId="77777777" w:rsidR="00F57784" w:rsidRDefault="00000000">
            <w:r>
              <w:t>Standardised z-score of standards over time, distance from expected in SD units.</w:t>
            </w:r>
          </w:p>
        </w:tc>
        <w:tc>
          <w:tcPr>
            <w:tcW w:w="44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B0207B" w14:textId="77777777" w:rsidR="00F57784" w:rsidRDefault="00000000">
            <w:r>
              <w:t>Element, CRM, Value, Expected, SD, Date, Company</w:t>
            </w:r>
          </w:p>
        </w:tc>
      </w:tr>
    </w:tbl>
    <w:p w14:paraId="4E4B430B" w14:textId="77777777" w:rsidR="00F57784" w:rsidRDefault="00000000">
      <w:pPr>
        <w:pStyle w:val="Heading2"/>
        <w:spacing w:before="240" w:after="90"/>
      </w:pPr>
      <w:bookmarkStart w:id="10" w:name="_Toc239940726"/>
      <w:r>
        <w:t>Data Validation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300"/>
        <w:gridCol w:w="4160"/>
      </w:tblGrid>
      <w:tr w:rsidR="00F57784" w14:paraId="52F1D0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7DD94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Tool</w:t>
            </w:r>
          </w:p>
        </w:tc>
        <w:tc>
          <w:tcPr>
            <w:tcW w:w="33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C55C7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Purpose</w:t>
            </w:r>
          </w:p>
        </w:tc>
        <w:tc>
          <w:tcPr>
            <w:tcW w:w="41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3C533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3730F" w14:textId="77777777" w:rsidR="00F57784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6"/>
                <w:sz w:val="17"/>
                <w:szCs w:val="17"/>
              </w:rPr>
              <w:t>Output</w:t>
            </w:r>
          </w:p>
        </w:tc>
      </w:tr>
      <w:tr w:rsidR="00F57784" w14:paraId="28F3A20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C6849F" w14:textId="77777777" w:rsidR="00F57784" w:rsidRDefault="00000000">
            <w:r>
              <w:rPr>
                <w:b/>
                <w:bCs/>
              </w:rPr>
              <w:t>Data Verification</w:t>
            </w:r>
          </w:p>
        </w:tc>
        <w:tc>
          <w:tcPr>
            <w:tcW w:w="33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DA86B3" w14:textId="77777777" w:rsidR="00F57784" w:rsidRDefault="00000000">
            <w:r>
              <w:t>Merge many lab certificates and reconcile them against the assay database, flagging every mismatch. Handles header detection, merging, detection-limit conversion and matching on sample ID per element.</w:t>
            </w:r>
          </w:p>
        </w:tc>
        <w:tc>
          <w:tcPr>
            <w:tcW w:w="41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6E710B" w14:textId="77777777" w:rsidR="00F57784" w:rsidRDefault="00000000">
            <w:r>
              <w:t>Merged CSV, per-element verification CSV, difference report</w:t>
            </w:r>
          </w:p>
        </w:tc>
      </w:tr>
      <w:tr w:rsidR="00F57784" w14:paraId="7CFB195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9C3AF7" w14:textId="77777777" w:rsidR="00F57784" w:rsidRDefault="00000000">
            <w:r>
              <w:rPr>
                <w:b/>
                <w:bCs/>
              </w:rPr>
              <w:t>Drill Hole Comparison</w:t>
            </w:r>
          </w:p>
        </w:tc>
        <w:tc>
          <w:tcPr>
            <w:tcW w:w="33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8EEDB1" w14:textId="77777777" w:rsidR="00F57784" w:rsidRDefault="00000000">
            <w:r>
              <w:t>Nearest-neighbour comparison of two datasets (for example blast holes versus drill holes) for grade reconciliation within a distance. Set grade, length, coordinate and ID fields, per-dataset capping values, one-to-one matching and a distance threshold.</w:t>
            </w:r>
          </w:p>
        </w:tc>
        <w:tc>
          <w:tcPr>
            <w:tcW w:w="41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F1F4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41A8F3" w14:textId="77777777" w:rsidR="00F57784" w:rsidRDefault="00000000">
            <w:r>
              <w:t>Descriptive stats, histograms, CSV</w:t>
            </w:r>
          </w:p>
        </w:tc>
      </w:tr>
    </w:tbl>
    <w:p w14:paraId="48070441" w14:textId="77777777" w:rsidR="00033E67" w:rsidRDefault="00033E67"/>
    <w:sectPr w:rsidR="00033E6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5665"/>
    <w:multiLevelType w:val="hybridMultilevel"/>
    <w:tmpl w:val="56FC9818"/>
    <w:lvl w:ilvl="0" w:tplc="53A674D2">
      <w:start w:val="1"/>
      <w:numFmt w:val="bullet"/>
      <w:lvlText w:val="•"/>
      <w:lvlJc w:val="left"/>
      <w:pPr>
        <w:ind w:left="360" w:hanging="220"/>
      </w:pPr>
      <w:rPr>
        <w:color w:val="3C533C"/>
      </w:rPr>
    </w:lvl>
    <w:lvl w:ilvl="1" w:tplc="1004D874">
      <w:numFmt w:val="decimal"/>
      <w:lvlText w:val=""/>
      <w:lvlJc w:val="left"/>
    </w:lvl>
    <w:lvl w:ilvl="2" w:tplc="747E7054">
      <w:numFmt w:val="decimal"/>
      <w:lvlText w:val=""/>
      <w:lvlJc w:val="left"/>
    </w:lvl>
    <w:lvl w:ilvl="3" w:tplc="BCBE61C0">
      <w:numFmt w:val="decimal"/>
      <w:lvlText w:val=""/>
      <w:lvlJc w:val="left"/>
    </w:lvl>
    <w:lvl w:ilvl="4" w:tplc="5C1E3F4E">
      <w:numFmt w:val="decimal"/>
      <w:lvlText w:val=""/>
      <w:lvlJc w:val="left"/>
    </w:lvl>
    <w:lvl w:ilvl="5" w:tplc="FC502564">
      <w:numFmt w:val="decimal"/>
      <w:lvlText w:val=""/>
      <w:lvlJc w:val="left"/>
    </w:lvl>
    <w:lvl w:ilvl="6" w:tplc="B71E918A">
      <w:numFmt w:val="decimal"/>
      <w:lvlText w:val=""/>
      <w:lvlJc w:val="left"/>
    </w:lvl>
    <w:lvl w:ilvl="7" w:tplc="EA403D58">
      <w:numFmt w:val="decimal"/>
      <w:lvlText w:val=""/>
      <w:lvlJc w:val="left"/>
    </w:lvl>
    <w:lvl w:ilvl="8" w:tplc="E720371A">
      <w:numFmt w:val="decimal"/>
      <w:lvlText w:val=""/>
      <w:lvlJc w:val="left"/>
    </w:lvl>
  </w:abstractNum>
  <w:abstractNum w:abstractNumId="1" w15:restartNumberingAfterBreak="0">
    <w:nsid w:val="3F2D53F1"/>
    <w:multiLevelType w:val="hybridMultilevel"/>
    <w:tmpl w:val="7F3CC6A8"/>
    <w:lvl w:ilvl="0" w:tplc="BB6EEC84">
      <w:start w:val="1"/>
      <w:numFmt w:val="bullet"/>
      <w:lvlText w:val="●"/>
      <w:lvlJc w:val="left"/>
      <w:pPr>
        <w:ind w:left="720" w:hanging="360"/>
      </w:pPr>
    </w:lvl>
    <w:lvl w:ilvl="1" w:tplc="1BBA14D8">
      <w:start w:val="1"/>
      <w:numFmt w:val="bullet"/>
      <w:lvlText w:val="○"/>
      <w:lvlJc w:val="left"/>
      <w:pPr>
        <w:ind w:left="1440" w:hanging="360"/>
      </w:pPr>
    </w:lvl>
    <w:lvl w:ilvl="2" w:tplc="E30017D2">
      <w:start w:val="1"/>
      <w:numFmt w:val="bullet"/>
      <w:lvlText w:val="■"/>
      <w:lvlJc w:val="left"/>
      <w:pPr>
        <w:ind w:left="2160" w:hanging="360"/>
      </w:pPr>
    </w:lvl>
    <w:lvl w:ilvl="3" w:tplc="13A0406A">
      <w:start w:val="1"/>
      <w:numFmt w:val="bullet"/>
      <w:lvlText w:val="●"/>
      <w:lvlJc w:val="left"/>
      <w:pPr>
        <w:ind w:left="2880" w:hanging="360"/>
      </w:pPr>
    </w:lvl>
    <w:lvl w:ilvl="4" w:tplc="75F23E92">
      <w:start w:val="1"/>
      <w:numFmt w:val="bullet"/>
      <w:lvlText w:val="○"/>
      <w:lvlJc w:val="left"/>
      <w:pPr>
        <w:ind w:left="3600" w:hanging="360"/>
      </w:pPr>
    </w:lvl>
    <w:lvl w:ilvl="5" w:tplc="C204A7AA">
      <w:start w:val="1"/>
      <w:numFmt w:val="bullet"/>
      <w:lvlText w:val="■"/>
      <w:lvlJc w:val="left"/>
      <w:pPr>
        <w:ind w:left="4320" w:hanging="360"/>
      </w:pPr>
    </w:lvl>
    <w:lvl w:ilvl="6" w:tplc="AB3E066C">
      <w:start w:val="1"/>
      <w:numFmt w:val="bullet"/>
      <w:lvlText w:val="●"/>
      <w:lvlJc w:val="left"/>
      <w:pPr>
        <w:ind w:left="5040" w:hanging="360"/>
      </w:pPr>
    </w:lvl>
    <w:lvl w:ilvl="7" w:tplc="BC56E562">
      <w:start w:val="1"/>
      <w:numFmt w:val="bullet"/>
      <w:lvlText w:val="●"/>
      <w:lvlJc w:val="left"/>
      <w:pPr>
        <w:ind w:left="5760" w:hanging="360"/>
      </w:pPr>
    </w:lvl>
    <w:lvl w:ilvl="8" w:tplc="86A288BC">
      <w:start w:val="1"/>
      <w:numFmt w:val="bullet"/>
      <w:lvlText w:val="●"/>
      <w:lvlJc w:val="left"/>
      <w:pPr>
        <w:ind w:left="6480" w:hanging="360"/>
      </w:pPr>
    </w:lvl>
  </w:abstractNum>
  <w:num w:numId="1" w16cid:durableId="1980066947">
    <w:abstractNumId w:val="1"/>
    <w:lvlOverride w:ilvl="0">
      <w:startOverride w:val="1"/>
    </w:lvlOverride>
  </w:num>
  <w:num w:numId="2" w16cid:durableId="18335222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784"/>
    <w:rsid w:val="00033E67"/>
    <w:rsid w:val="00845C31"/>
    <w:rsid w:val="009B1DEE"/>
    <w:rsid w:val="00E91844"/>
    <w:rsid w:val="00F5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2F33E"/>
  <w15:docId w15:val="{D2AC98DB-7E95-4E04-B98E-01AE5DFE3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211D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Arial" w:eastAsia="Arial" w:hAnsi="Arial" w:cs="Arial"/>
      <w:b/>
      <w:bCs/>
      <w:color w:val="3C533C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rFonts w:ascii="Arial" w:eastAsia="Arial" w:hAnsi="Arial" w:cs="Arial"/>
      <w:b/>
      <w:bCs/>
      <w:color w:val="2B3D2E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9184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1844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1350</Words>
  <Characters>7695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Celest Tools User Manual</vt:lpstr>
    </vt:vector>
  </TitlesOfParts>
  <Company/>
  <LinksUpToDate>false</LinksUpToDate>
  <CharactersWithSpaces>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Celest Tools User Manual</dc:title>
  <dc:creator>SLR Consulting</dc:creator>
  <dc:description>User manual for the SLR Celest resource estimation toolkit</dc:description>
  <cp:lastModifiedBy>Aidan Antoni Tam</cp:lastModifiedBy>
  <cp:revision>3</cp:revision>
  <dcterms:created xsi:type="dcterms:W3CDTF">2026-09-10T17:47:00Z</dcterms:created>
  <dcterms:modified xsi:type="dcterms:W3CDTF">2026-09-10T18:16:00Z</dcterms:modified>
</cp:coreProperties>
</file>