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drawing>
          <wp:inline distT="0" distB="0" distL="0" distR="0">
            <wp:extent cx="22098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09800" cy="981075"/>
                    </a:xfrm>
                    <a:prstGeom prst="rect">
                      <a:avLst/>
                    </a:prstGeom>
                  </pic:spPr>
                </pic:pic>
              </a:graphicData>
            </a:graphic>
          </wp:inline>
        </w:drawing>
      </w:r>
    </w:p>
    <w:p>
      <w:pPr>
        <w:spacing w:after="0" w:before="520"/>
      </w:pPr>
      <w:r>
        <w:rPr>
          <w:rFonts w:ascii="Arial" w:cs="Arial" w:eastAsia="Arial" w:hAnsi="Arial"/>
          <w:b/>
          <w:bCs/>
          <w:color w:val="3C533C"/>
          <w:sz w:val="66"/>
          <w:szCs w:val="66"/>
        </w:rPr>
        <w:t xml:space="preserve">Celest Tools</w:t>
      </w:r>
    </w:p>
    <w:p>
      <w:pPr>
        <w:spacing w:after="0" w:before="40"/>
      </w:pPr>
      <w:r>
        <w:rPr>
          <w:rFonts w:ascii="Arial" w:cs="Arial" w:eastAsia="Arial" w:hAnsi="Arial"/>
          <w:b/>
          <w:bCs/>
          <w:color w:val="1B211D"/>
          <w:sz w:val="40"/>
          <w:szCs w:val="40"/>
        </w:rPr>
        <w:t xml:space="preserve">User Manual</w:t>
      </w:r>
    </w:p>
    <w:p>
      <w:pPr>
        <w:pBdr>
          <w:bottom w:val="single" w:color="3C533C" w:sz="12"/>
        </w:pBdr>
        <w:spacing w:after="0" w:before="20"/>
      </w:pPr>
    </w:p>
    <w:p>
      <w:pPr>
        <w:spacing w:after="0" w:before="260"/>
      </w:pPr>
      <w:r>
        <w:rPr>
          <w:rFonts w:ascii="Arial" w:cs="Arial" w:eastAsia="Arial" w:hAnsi="Arial"/>
          <w:color w:val="49514A"/>
          <w:spacing w:val="10"/>
          <w:sz w:val="24"/>
          <w:szCs w:val="24"/>
        </w:rPr>
        <w:t xml:space="preserve">Resource Estimation Tools</w:t>
      </w:r>
    </w:p>
    <w:p>
      <w:pPr>
        <w:spacing w:after="0" w:before="460"/>
      </w:pPr>
      <w:r>
        <w:rPr>
          <w:rFonts w:ascii="Calibri" w:cs="Calibri" w:eastAsia="Calibri" w:hAnsi="Calibri"/>
          <w:b w:val="false"/>
          <w:bCs w:val="false"/>
          <w:i w:val="false"/>
          <w:iCs w:val="false"/>
          <w:caps w:val="false"/>
          <w:color w:val="49514A"/>
          <w:sz w:val="22"/>
          <w:szCs w:val="22"/>
        </w:rPr>
        <w:t xml:space="preserve">A browser based toolkit that takes drillhole assays from the laboratory through to a defensible resource estimate: QA/QC, validation, statistics, capping, geostatistics and reconciliation. No install required.</w:t>
      </w:r>
    </w:p>
    <w:p>
      <w:pPr>
        <w:spacing w:after="0" w:before="1600"/>
      </w:pPr>
      <w:r>
        <w:rPr>
          <w:rFonts w:ascii="Arial" w:cs="Arial" w:eastAsia="Arial" w:hAnsi="Arial"/>
          <w:b/>
          <w:bCs/>
          <w:color w:val="3C533C"/>
          <w:sz w:val="22"/>
          <w:szCs w:val="22"/>
        </w:rPr>
        <w:t xml:space="preserve">SLR Consulting</w:t>
      </w:r>
      <w:r>
        <w:rPr>
          <w:rFonts w:ascii="Calibri" w:cs="Calibri" w:eastAsia="Calibri" w:hAnsi="Calibri"/>
          <w:color w:val="49514A"/>
          <w:sz w:val="20"/>
          <w:szCs w:val="20"/>
        </w:rPr>
        <w:t xml:space="preserve">     Version 1.0.2</w:t>
      </w:r>
    </w:p>
    <w:p>
      <w:r>
        <w:br w:type="page"/>
      </w:r>
    </w:p>
    <w:p>
      <w:pPr>
        <w:spacing w:after="140"/>
      </w:pPr>
      <w:r>
        <w:rPr>
          <w:rFonts w:ascii="Arial" w:cs="Arial" w:eastAsia="Arial" w:hAnsi="Arial"/>
          <w:b/>
          <w:bCs/>
          <w:color w:val="3C533C"/>
          <w:sz w:val="26"/>
          <w:szCs w:val="2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Arial" w:cs="Arial" w:eastAsia="Arial" w:hAnsi="Arial"/>
          <w:b/>
          <w:bCs/>
          <w:color w:val="3C533C"/>
          <w:sz w:val="30"/>
          <w:szCs w:val="30"/>
        </w:rPr>
        <w:t xml:space="preserve">1.  How the tools fit together</w:t>
      </w:r>
    </w:p>
    <w:p>
      <w:pPr>
        <w:spacing w:after="140" w:line="276"/>
      </w:pPr>
      <w:r>
        <w:rPr>
          <w:rFonts w:ascii="Calibri" w:cs="Calibri" w:eastAsia="Calibri" w:hAnsi="Calibri"/>
          <w:b w:val="false"/>
          <w:bCs w:val="false"/>
          <w:i w:val="false"/>
          <w:iCs w:val="false"/>
          <w:caps w:val="false"/>
          <w:color w:val="1B211D"/>
          <w:sz w:val="20"/>
          <w:szCs w:val="20"/>
        </w:rPr>
        <w:t xml:space="preserve">The toolkit mirrors the life of a resource estimation study. Data has to be trusted before it can be understood, treated, and finally modelled. The stages below run in order, and the early stages gate the later ones, so a failed standard or a bad merge is caught before it contaminates a grade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200"/>
        <w:gridCol w:w="3400"/>
        <w:gridCol w:w="3000"/>
      </w:tblGrid>
      <w:tr>
        <w:trPr>
          <w:tblHeader/>
        </w:trPr>
        <w:tc>
          <w:tcPr>
            <w:tcW w:type="dxa" w:w="76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Stage</w:t>
            </w:r>
          </w:p>
        </w:tc>
        <w:tc>
          <w:tcPr>
            <w:tcW w:type="dxa" w:w="22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Focus</w:t>
            </w:r>
          </w:p>
        </w:tc>
        <w:tc>
          <w:tcPr>
            <w:tcW w:type="dxa" w:w="34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Question it answers</w:t>
            </w:r>
          </w:p>
        </w:tc>
        <w:tc>
          <w:tcPr>
            <w:tcW w:type="dxa" w:w="30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Tools</w:t>
            </w:r>
          </w:p>
        </w:tc>
      </w:tr>
      <w:tr>
        <w:tc>
          <w:tcPr>
            <w:tcW w:type="dxa" w:w="7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1</w:t>
            </w:r>
          </w:p>
        </w:tc>
        <w:tc>
          <w:tcPr>
            <w:tcW w:type="dxa" w:w="22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Validate incoming lab data</w:t>
            </w:r>
          </w:p>
        </w:tc>
        <w:tc>
          <w:tcPr>
            <w:tcW w:type="dxa" w:w="3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Does the database match the lab certificates?</w:t>
            </w:r>
          </w:p>
        </w:tc>
        <w:tc>
          <w:tcPr>
            <w:tcW w:type="dxa" w:w="30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Data Verification</w:t>
            </w:r>
          </w:p>
        </w:tc>
      </w:tr>
      <w:tr>
        <w:tc>
          <w:tcPr>
            <w:tcW w:type="dxa" w:w="76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2</w:t>
            </w:r>
          </w:p>
        </w:tc>
        <w:tc>
          <w:tcPr>
            <w:tcW w:type="dxa" w:w="22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QA/QC the assays</w:t>
            </w:r>
          </w:p>
        </w:tc>
        <w:tc>
          <w:tcPr>
            <w:tcW w:type="dxa" w:w="34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Are the assay numbers reliable?</w:t>
            </w:r>
          </w:p>
        </w:tc>
        <w:tc>
          <w:tcPr>
            <w:tcW w:type="dxa" w:w="30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Standards, Blanks, Duplicates, Check Assays, Z-Score</w:t>
            </w:r>
          </w:p>
        </w:tc>
      </w:tr>
      <w:tr>
        <w:tc>
          <w:tcPr>
            <w:tcW w:type="dxa" w:w="7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3</w:t>
            </w:r>
          </w:p>
        </w:tc>
        <w:tc>
          <w:tcPr>
            <w:tcW w:type="dxa" w:w="22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Explore the data</w:t>
            </w:r>
          </w:p>
        </w:tc>
        <w:tc>
          <w:tcPr>
            <w:tcW w:type="dxa" w:w="3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How does grade behave, by domain?</w:t>
            </w:r>
          </w:p>
        </w:tc>
        <w:tc>
          <w:tcPr>
            <w:tcW w:type="dxa" w:w="30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Statistics, Box Plot, Scatter Plot, Width Plot, Contact Analysis</w:t>
            </w:r>
          </w:p>
        </w:tc>
      </w:tr>
      <w:tr>
        <w:tc>
          <w:tcPr>
            <w:tcW w:type="dxa" w:w="76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4</w:t>
            </w:r>
          </w:p>
        </w:tc>
        <w:tc>
          <w:tcPr>
            <w:tcW w:type="dxa" w:w="22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Data density and classification</w:t>
            </w:r>
          </w:p>
        </w:tc>
        <w:tc>
          <w:tcPr>
            <w:tcW w:type="dxa" w:w="34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How tightly is each domain sampled?</w:t>
            </w:r>
          </w:p>
        </w:tc>
        <w:tc>
          <w:tcPr>
            <w:tcW w:type="dxa" w:w="30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DDH Spacing, Thin DDH Spacing</w:t>
            </w:r>
          </w:p>
        </w:tc>
      </w:tr>
      <w:tr>
        <w:tc>
          <w:tcPr>
            <w:tcW w:type="dxa" w:w="7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5</w:t>
            </w:r>
          </w:p>
        </w:tc>
        <w:tc>
          <w:tcPr>
            <w:tcW w:type="dxa" w:w="22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Treat outliers (capping)</w:t>
            </w:r>
          </w:p>
        </w:tc>
        <w:tc>
          <w:tcPr>
            <w:tcW w:type="dxa" w:w="3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What top-cut, and at what cost?</w:t>
            </w:r>
          </w:p>
        </w:tc>
        <w:tc>
          <w:tcPr>
            <w:tcW w:type="dxa" w:w="30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Capping Analysis, Uncapped vs Capped</w:t>
            </w:r>
          </w:p>
        </w:tc>
      </w:tr>
      <w:tr>
        <w:tc>
          <w:tcPr>
            <w:tcW w:type="dxa" w:w="76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6</w:t>
            </w:r>
          </w:p>
        </w:tc>
        <w:tc>
          <w:tcPr>
            <w:tcW w:type="dxa" w:w="22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Geostatistics, change of support</w:t>
            </w:r>
          </w:p>
        </w:tc>
        <w:tc>
          <w:tcPr>
            <w:tcW w:type="dxa" w:w="34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How do point samples become block estimates?</w:t>
            </w:r>
          </w:p>
        </w:tc>
        <w:tc>
          <w:tcPr>
            <w:tcW w:type="dxa" w:w="30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Gammabar Plot</w:t>
            </w:r>
          </w:p>
        </w:tc>
      </w:tr>
      <w:tr>
        <w:tc>
          <w:tcPr>
            <w:tcW w:type="dxa" w:w="7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7</w:t>
            </w:r>
          </w:p>
        </w:tc>
        <w:tc>
          <w:tcPr>
            <w:tcW w:type="dxa" w:w="22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Block model and reconciliation</w:t>
            </w:r>
          </w:p>
        </w:tc>
        <w:tc>
          <w:tcPr>
            <w:tcW w:type="dxa" w:w="3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Does the model line up with reality?</w:t>
            </w:r>
          </w:p>
        </w:tc>
        <w:tc>
          <w:tcPr>
            <w:tcW w:type="dxa" w:w="30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Convert Rotations, Drill Hole Comparison</w:t>
            </w:r>
          </w:p>
        </w:tc>
      </w:tr>
    </w:tbl>
    <w:p>
      <w:pPr>
        <w:pBdr>
          <w:bottom w:val="single" w:color="3C533C" w:sz="8"/>
        </w:pBdr>
        <w:spacing w:after="160" w:before="40"/>
      </w:pPr>
    </w:p>
    <w:p>
      <w:pPr>
        <w:pStyle w:val="Heading1"/>
        <w:spacing w:after="140" w:before="320"/>
      </w:pPr>
      <w:r>
        <w:rPr>
          <w:rFonts w:ascii="Arial" w:cs="Arial" w:eastAsia="Arial" w:hAnsi="Arial"/>
          <w:b/>
          <w:bCs/>
          <w:color w:val="3C533C"/>
          <w:sz w:val="30"/>
          <w:szCs w:val="30"/>
        </w:rPr>
        <w:t xml:space="preserve">2.  Getting started</w:t>
      </w:r>
    </w:p>
    <w:p>
      <w:pPr>
        <w:spacing w:after="140" w:line="276"/>
      </w:pPr>
      <w:r>
        <w:rPr>
          <w:rFonts w:ascii="Calibri" w:cs="Calibri" w:eastAsia="Calibri" w:hAnsi="Calibri"/>
          <w:b w:val="false"/>
          <w:bCs w:val="false"/>
          <w:i w:val="false"/>
          <w:iCs w:val="false"/>
          <w:caps w:val="false"/>
          <w:color w:val="1B211D"/>
          <w:sz w:val="20"/>
          <w:szCs w:val="20"/>
        </w:rPr>
        <w:t xml:space="preserve">The app runs entirely in the browser, with nothing to install. Open the hosted link, enter the shared passphrase, and pick a section from the left sidebar. Selecting a tool loads it in the main panel; Back returns to the section menu.</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Access.  </w:t>
      </w:r>
      <w:r>
        <w:rPr>
          <w:rFonts w:ascii="Calibri" w:cs="Calibri" w:eastAsia="Calibri" w:hAnsi="Calibri"/>
          <w:b w:val="false"/>
          <w:bCs w:val="false"/>
          <w:i w:val="false"/>
          <w:iCs w:val="false"/>
          <w:caps w:val="false"/>
          <w:color w:val="1B211D"/>
          <w:sz w:val="20"/>
          <w:szCs w:val="20"/>
        </w:rPr>
        <w:t xml:space="preserve">The app is gated by a single team passphrase. There are no individual accounts; anyone with the link and passphrase can use every tool.</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Two ways to load a file.  </w:t>
      </w:r>
      <w:r>
        <w:rPr>
          <w:rFonts w:ascii="Calibri" w:cs="Calibri" w:eastAsia="Calibri" w:hAnsi="Calibri"/>
          <w:b w:val="false"/>
          <w:bCs w:val="false"/>
          <w:i w:val="false"/>
          <w:iCs w:val="false"/>
          <w:caps w:val="false"/>
          <w:color w:val="1B211D"/>
          <w:sz w:val="20"/>
          <w:szCs w:val="20"/>
        </w:rPr>
        <w:t xml:space="preserve">Drag and drop or browse via the sidebar uploader, or use "...or select from folder" to pick a file already in the app working directory.</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Save this build.  </w:t>
      </w:r>
      <w:r>
        <w:rPr>
          <w:rFonts w:ascii="Calibri" w:cs="Calibri" w:eastAsia="Calibri" w:hAnsi="Calibri"/>
          <w:b w:val="false"/>
          <w:bCs w:val="false"/>
          <w:i w:val="false"/>
          <w:iCs w:val="false"/>
          <w:caps w:val="false"/>
          <w:color w:val="1B211D"/>
          <w:sz w:val="20"/>
          <w:szCs w:val="20"/>
        </w:rPr>
        <w:t xml:space="preserve">"Download this version" zips the exact running codebase, so you keep a working local copy even if the hosted app is later changed.</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Reruns.  </w:t>
      </w:r>
      <w:r>
        <w:rPr>
          <w:rFonts w:ascii="Calibri" w:cs="Calibri" w:eastAsia="Calibri" w:hAnsi="Calibri"/>
          <w:b w:val="false"/>
          <w:bCs w:val="false"/>
          <w:i w:val="false"/>
          <w:iCs w:val="false"/>
          <w:caps w:val="false"/>
          <w:color w:val="1B211D"/>
          <w:sz w:val="20"/>
          <w:szCs w:val="20"/>
        </w:rPr>
        <w:t xml:space="preserve">Streamlit re-runs the whole script on every input change; a brief flash as charts rebuild is normal, not a crash.</w:t>
      </w:r>
    </w:p>
    <w:p>
      <w:pPr>
        <w:pBdr>
          <w:bottom w:val="single" w:color="3C533C" w:sz="8"/>
        </w:pBdr>
        <w:spacing w:after="160" w:before="40"/>
      </w:pPr>
    </w:p>
    <w:p>
      <w:pPr>
        <w:pStyle w:val="Heading1"/>
        <w:spacing w:after="140" w:before="320"/>
      </w:pPr>
      <w:r>
        <w:rPr>
          <w:rFonts w:ascii="Arial" w:cs="Arial" w:eastAsia="Arial" w:hAnsi="Arial"/>
          <w:b/>
          <w:bCs/>
          <w:color w:val="3C533C"/>
          <w:sz w:val="30"/>
          <w:szCs w:val="30"/>
        </w:rPr>
        <w:t xml:space="preserve">3.  File input types</w:t>
      </w:r>
    </w:p>
    <w:p>
      <w:pPr>
        <w:spacing w:after="140" w:line="276"/>
      </w:pPr>
      <w:r>
        <w:rPr>
          <w:rFonts w:ascii="Calibri" w:cs="Calibri" w:eastAsia="Calibri" w:hAnsi="Calibri"/>
          <w:b w:val="false"/>
          <w:bCs w:val="false"/>
          <w:i w:val="false"/>
          <w:iCs w:val="false"/>
          <w:caps w:val="false"/>
          <w:color w:val="1B211D"/>
          <w:sz w:val="20"/>
          <w:szCs w:val="20"/>
        </w:rPr>
        <w:t xml:space="preserve">The toolkit reads three data formats plus two kinds of saved-settings file. Which formats a tool accepts depends on what it does: the sample and geostatistics tools speak native Datamine, while the QA/QC tools lean toward the CSV and Excel exports that laboratories actually send.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3010"/>
        <w:gridCol w:w="3500"/>
      </w:tblGrid>
      <w:tr>
        <w:trPr>
          <w:tblHeader/>
        </w:trPr>
        <w:tc>
          <w:tcPr>
            <w:tcW w:type="dxa" w:w="135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Format</w:t>
            </w:r>
          </w:p>
        </w:tc>
        <w:tc>
          <w:tcPr>
            <w:tcW w:type="dxa" w:w="15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Extension</w:t>
            </w:r>
          </w:p>
        </w:tc>
        <w:tc>
          <w:tcPr>
            <w:tcW w:type="dxa" w:w="301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Accepted by</w:t>
            </w:r>
          </w:p>
        </w:tc>
        <w:tc>
          <w:tcPr>
            <w:tcW w:type="dxa" w:w="35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Notes</w:t>
            </w:r>
          </w:p>
        </w:tc>
      </w:tr>
      <w:tr>
        <w:tc>
          <w:tcPr>
            <w:tcW w:type="dxa" w:w="13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CSV</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onsolas" w:cs="Consolas" w:eastAsia="Consolas" w:hAnsi="Consolas"/>
                <w:b w:val="false"/>
                <w:bCs w:val="false"/>
                <w:i w:val="false"/>
                <w:iCs w:val="false"/>
                <w:caps w:val="false"/>
                <w:color w:val="2B3D2E"/>
                <w:sz w:val="18"/>
                <w:szCs w:val="18"/>
              </w:rPr>
              <w:t xml:space="preserve">.csv</w:t>
            </w:r>
          </w:p>
        </w:tc>
        <w:tc>
          <w:tcPr>
            <w:tcW w:type="dxa" w:w="30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Every tool</w:t>
            </w:r>
          </w:p>
        </w:tc>
        <w:tc>
          <w:tcPr>
            <w:tcW w:type="dxa" w:w="3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The universal format. Any Excel sheet or Datamine table can be exported to CSV and read here.</w:t>
            </w:r>
          </w:p>
        </w:tc>
      </w:tr>
      <w:tr>
        <w:tc>
          <w:tcPr>
            <w:tcW w:type="dxa" w:w="135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Datamine</w:t>
            </w:r>
          </w:p>
        </w:tc>
        <w:tc>
          <w:tcPr>
            <w:tcW w:type="dxa" w:w="1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onsolas" w:cs="Consolas" w:eastAsia="Consolas" w:hAnsi="Consolas"/>
                <w:b w:val="false"/>
                <w:bCs w:val="false"/>
                <w:i w:val="false"/>
                <w:iCs w:val="false"/>
                <w:caps w:val="false"/>
                <w:color w:val="2B3D2E"/>
                <w:sz w:val="18"/>
                <w:szCs w:val="18"/>
              </w:rPr>
              <w:t xml:space="preserve">.dm</w:t>
            </w:r>
          </w:p>
        </w:tc>
        <w:tc>
          <w:tcPr>
            <w:tcW w:type="dxa" w:w="301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Plotting, Sample, Geostats, Block model</w:t>
            </w:r>
          </w:p>
        </w:tc>
        <w:tc>
          <w:tcPr>
            <w:tcW w:type="dxa" w:w="3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Native Datamine data files, read directly with no export step.</w:t>
            </w:r>
          </w:p>
        </w:tc>
      </w:tr>
      <w:tr>
        <w:tc>
          <w:tcPr>
            <w:tcW w:type="dxa" w:w="13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Excel</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onsolas" w:cs="Consolas" w:eastAsia="Consolas" w:hAnsi="Consolas"/>
                <w:b w:val="false"/>
                <w:bCs w:val="false"/>
                <w:i w:val="false"/>
                <w:iCs w:val="false"/>
                <w:caps w:val="false"/>
                <w:color w:val="2B3D2E"/>
                <w:sz w:val="18"/>
                <w:szCs w:val="18"/>
              </w:rPr>
              <w:t xml:space="preserve">.xlsx  .xls</w:t>
            </w:r>
          </w:p>
        </w:tc>
        <w:tc>
          <w:tcPr>
            <w:tcW w:type="dxa" w:w="30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All QA/QC tools; Data Verification (</w:t>
            </w:r>
            <w:r>
              <w:rPr>
                <w:rFonts w:ascii="Consolas" w:cs="Consolas" w:eastAsia="Consolas" w:hAnsi="Consolas"/>
                <w:b w:val="false"/>
                <w:bCs w:val="false"/>
                <w:i w:val="false"/>
                <w:iCs w:val="false"/>
                <w:caps w:val="false"/>
                <w:color w:val="2B3D2E"/>
                <w:sz w:val="18"/>
                <w:szCs w:val="18"/>
              </w:rPr>
              <w:t xml:space="preserve">.xlsx / .xlsm</w:t>
            </w:r>
            <w:r>
              <w:rPr>
                <w:rFonts w:ascii="Calibri" w:cs="Calibri" w:eastAsia="Calibri" w:hAnsi="Calibri"/>
                <w:b w:val="false"/>
                <w:bCs w:val="false"/>
                <w:i w:val="false"/>
                <w:iCs w:val="false"/>
                <w:caps w:val="false"/>
                <w:color w:val="1B211D"/>
                <w:sz w:val="20"/>
                <w:szCs w:val="20"/>
              </w:rPr>
              <w:t xml:space="preserve">)</w:t>
            </w:r>
          </w:p>
        </w:tc>
        <w:tc>
          <w:tcPr>
            <w:tcW w:type="dxa" w:w="3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Read straight from the workbook, so lab certificates need no Save As CSV.</w:t>
            </w:r>
          </w:p>
        </w:tc>
      </w:tr>
      <w:tr>
        <w:tc>
          <w:tcPr>
            <w:tcW w:type="dxa" w:w="135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Config</w:t>
            </w:r>
          </w:p>
        </w:tc>
        <w:tc>
          <w:tcPr>
            <w:tcW w:type="dxa" w:w="1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onsolas" w:cs="Consolas" w:eastAsia="Consolas" w:hAnsi="Consolas"/>
                <w:b w:val="false"/>
                <w:bCs w:val="false"/>
                <w:i w:val="false"/>
                <w:iCs w:val="false"/>
                <w:caps w:val="false"/>
                <w:color w:val="2B3D2E"/>
                <w:sz w:val="18"/>
                <w:szCs w:val="18"/>
              </w:rPr>
              <w:t xml:space="preserve">.json</w:t>
            </w:r>
          </w:p>
        </w:tc>
        <w:tc>
          <w:tcPr>
            <w:tcW w:type="dxa" w:w="301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QA/QC tools</w:t>
            </w:r>
          </w:p>
        </w:tc>
        <w:tc>
          <w:tcPr>
            <w:tcW w:type="dxa" w:w="3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Saves column mapping and filter choices. "Download config JSON" to keep it, "Load config" to restore it.</w:t>
            </w:r>
          </w:p>
        </w:tc>
      </w:tr>
      <w:tr>
        <w:tc>
          <w:tcPr>
            <w:tcW w:type="dxa" w:w="13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Settings</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onsolas" w:cs="Consolas" w:eastAsia="Consolas" w:hAnsi="Consolas"/>
                <w:b w:val="false"/>
                <w:bCs w:val="false"/>
                <w:i w:val="false"/>
                <w:iCs w:val="false"/>
                <w:caps w:val="false"/>
                <w:color w:val="2B3D2E"/>
                <w:sz w:val="18"/>
                <w:szCs w:val="18"/>
              </w:rPr>
              <w:t xml:space="preserve">folder file</w:t>
            </w:r>
          </w:p>
        </w:tc>
        <w:tc>
          <w:tcPr>
            <w:tcW w:type="dxa" w:w="30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Capping, Statistics, Contact, DDH Spacing</w:t>
            </w:r>
          </w:p>
        </w:tc>
        <w:tc>
          <w:tcPr>
            <w:tcW w:type="dxa" w:w="3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"Load Settings" recalls a saved parameter preset from the working folder.</w:t>
            </w:r>
          </w:p>
        </w:tc>
      </w:tr>
    </w:tbl>
    <w:p>
      <w:pPr>
        <w:pStyle w:val="Heading2"/>
        <w:spacing w:after="90" w:before="240"/>
      </w:pPr>
      <w:r>
        <w:rPr>
          <w:rFonts w:ascii="Arial" w:cs="Arial" w:eastAsia="Arial" w:hAnsi="Arial"/>
          <w:b/>
          <w:bCs/>
          <w:color w:val="2B3D2E"/>
          <w:sz w:val="23"/>
          <w:szCs w:val="23"/>
        </w:rPr>
        <w:t xml:space="preserve">The tools meet messy files halfway</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Automatic column mapping.  </w:t>
      </w:r>
      <w:r>
        <w:rPr>
          <w:rFonts w:ascii="Calibri" w:cs="Calibri" w:eastAsia="Calibri" w:hAnsi="Calibri"/>
          <w:b w:val="false"/>
          <w:bCs w:val="false"/>
          <w:i w:val="false"/>
          <w:iCs w:val="false"/>
          <w:caps w:val="false"/>
          <w:color w:val="1B211D"/>
          <w:sz w:val="20"/>
          <w:szCs w:val="20"/>
        </w:rPr>
        <w:t xml:space="preserve">On upload, each QA/QC tool guesses which column is Lab, Element, Value, Date, Unit, CRM, Expected Value or SD, tolerant of case and spacing ("Analyte" maps to Element, "Assay_Result" to Value, "certified value" to Expected). Override any guess manually.</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Wide to long reshape.  </w:t>
      </w:r>
      <w:r>
        <w:rPr>
          <w:rFonts w:ascii="Calibri" w:cs="Calibri" w:eastAsia="Calibri" w:hAnsi="Calibri"/>
          <w:b w:val="false"/>
          <w:bCs w:val="false"/>
          <w:i w:val="false"/>
          <w:iCs w:val="false"/>
          <w:caps w:val="false"/>
          <w:color w:val="1B211D"/>
          <w:sz w:val="20"/>
          <w:szCs w:val="20"/>
        </w:rPr>
        <w:t xml:space="preserve">A file with one column block per element (Au_EV, Au_SD, Au_or_ppm, Ag_EV and so on) triggers a sidebar prompt to reshape it into the long Element/Value format the tools expect.</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Detection limits.  </w:t>
      </w:r>
      <w:r>
        <w:rPr>
          <w:rFonts w:ascii="Calibri" w:cs="Calibri" w:eastAsia="Calibri" w:hAnsi="Calibri"/>
          <w:b w:val="false"/>
          <w:bCs w:val="false"/>
          <w:i w:val="false"/>
          <w:iCs w:val="false"/>
          <w:caps w:val="false"/>
          <w:color w:val="1B211D"/>
          <w:sz w:val="20"/>
          <w:szCs w:val="20"/>
        </w:rPr>
        <w:t xml:space="preserve">In Data Verification, censored lab values convert to numbers automatically: "&lt;0.5" becomes half the limit (0.25), "&gt;10000" becomes the limit, so they compare arithmetically.</w:t>
      </w:r>
    </w:p>
    <w:p>
      <w:pPr>
        <w:pStyle w:val="ListParagraph"/>
        <w:numPr>
          <w:ilvl w:val="0"/>
          <w:numId w:val="2"/>
        </w:numPr>
        <w:spacing w:after="70" w:line="270"/>
      </w:pPr>
      <w:r>
        <w:rPr>
          <w:rFonts w:ascii="Calibri" w:cs="Calibri" w:eastAsia="Calibri" w:hAnsi="Calibri"/>
          <w:b/>
          <w:bCs/>
          <w:i w:val="false"/>
          <w:iCs w:val="false"/>
          <w:caps w:val="false"/>
          <w:color w:val="1B211D"/>
          <w:sz w:val="20"/>
          <w:szCs w:val="20"/>
        </w:rPr>
        <w:t xml:space="preserve">Field guessing.  </w:t>
      </w:r>
      <w:r>
        <w:rPr>
          <w:rFonts w:ascii="Calibri" w:cs="Calibri" w:eastAsia="Calibri" w:hAnsi="Calibri"/>
          <w:b w:val="false"/>
          <w:bCs w:val="false"/>
          <w:i w:val="false"/>
          <w:iCs w:val="false"/>
          <w:caps w:val="false"/>
          <w:color w:val="1B211D"/>
          <w:sz w:val="20"/>
          <w:szCs w:val="20"/>
        </w:rPr>
        <w:t xml:space="preserve">Sample tools recognise common coordinate and key names on sight, including X/Y/Z, EAST/NORTH/ELEV, BHID, HOLEID, LENGTH and ZONE/DOMAIN/ROCK, and pre-fill the field pickers.</w:t>
      </w:r>
    </w:p>
    <w:p>
      <w:pPr>
        <w:pBdr>
          <w:bottom w:val="single" w:color="3C533C" w:sz="8"/>
        </w:pBdr>
        <w:spacing w:after="160" w:before="40"/>
      </w:pPr>
    </w:p>
    <w:p>
      <w:pPr>
        <w:pStyle w:val="Heading1"/>
        <w:spacing w:after="140" w:before="320"/>
      </w:pPr>
      <w:r>
        <w:rPr>
          <w:rFonts w:ascii="Arial" w:cs="Arial" w:eastAsia="Arial" w:hAnsi="Arial"/>
          <w:b/>
          <w:bCs/>
          <w:color w:val="3C533C"/>
          <w:sz w:val="30"/>
          <w:szCs w:val="30"/>
        </w:rPr>
        <w:t xml:space="preserve">4.  Tool reference</w:t>
      </w:r>
    </w:p>
    <w:p>
      <w:pPr>
        <w:spacing w:after="140" w:line="276"/>
      </w:pPr>
      <w:r>
        <w:rPr>
          <w:rFonts w:ascii="Calibri" w:cs="Calibri" w:eastAsia="Calibri" w:hAnsi="Calibri"/>
          <w:b w:val="false"/>
          <w:bCs w:val="false"/>
          <w:i w:val="false"/>
          <w:iCs w:val="false"/>
          <w:caps w:val="false"/>
          <w:color w:val="1B211D"/>
          <w:sz w:val="20"/>
          <w:szCs w:val="20"/>
        </w:rPr>
        <w:t xml:space="preserve">Every tool, grouped exactly as it appears in the sidebar. Each row lists what you feed it, the choices that matter, and what comes out. Fields shown in a fixed-width font are columns you map from your file.</w:t>
      </w:r>
    </w:p>
    <w:p>
      <w:pPr>
        <w:pStyle w:val="Heading2"/>
        <w:spacing w:after="90" w:before="240"/>
      </w:pPr>
      <w:r>
        <w:rPr>
          <w:rFonts w:ascii="Arial" w:cs="Arial" w:eastAsia="Arial" w:hAnsi="Arial"/>
          <w:b/>
          <w:bCs/>
          <w:color w:val="2B3D2E"/>
          <w:sz w:val="23"/>
          <w:szCs w:val="23"/>
        </w:rPr>
        <w:t xml:space="preserve">Plotting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50"/>
        <w:gridCol w:w="3210"/>
        <w:gridCol w:w="1500"/>
      </w:tblGrid>
      <w:tr>
        <w:trPr>
          <w:tblHeader/>
        </w:trPr>
        <w:tc>
          <w:tcPr>
            <w:tcW w:type="dxa" w:w="17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w:t>
            </w:r>
          </w:p>
        </w:tc>
        <w:tc>
          <w:tcPr>
            <w:tcW w:type="dxa" w:w="295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Purpose</w:t>
            </w:r>
          </w:p>
        </w:tc>
        <w:tc>
          <w:tcPr>
            <w:tcW w:type="dxa" w:w="321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You map</w:t>
            </w:r>
          </w:p>
        </w:tc>
        <w:tc>
          <w:tcPr>
            <w:tcW w:type="dxa" w:w="15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Output</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Box Plot</w:t>
            </w:r>
          </w:p>
        </w:tc>
        <w:tc>
          <w:tcPr>
            <w:tcW w:type="dxa" w:w="29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distribution as box plots by domain and subdomain.</w:t>
            </w:r>
          </w:p>
        </w:tc>
        <w:tc>
          <w:tcPr>
            <w:tcW w:type="dxa" w:w="32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Domain, optional Subdomain; log option</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Interactive chart</w:t>
            </w:r>
          </w:p>
        </w:tc>
      </w:tr>
      <w:tr>
        <w:tc>
          <w:tcPr>
            <w:tcW w:type="dxa" w:w="17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Scatter Plot</w:t>
            </w:r>
          </w:p>
        </w:tc>
        <w:tc>
          <w:tcPr>
            <w:tcW w:type="dxa" w:w="295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Bivariate relationship between two variables.</w:t>
            </w:r>
          </w:p>
        </w:tc>
        <w:tc>
          <w:tcPr>
            <w:tcW w:type="dxa" w:w="321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Variable 1 and 2, colour-by, size-by, hover fields; log axes, marginals, colour scale</w:t>
            </w:r>
          </w:p>
        </w:tc>
        <w:tc>
          <w:tcPr>
            <w:tcW w:type="dxa" w:w="1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Interactive chart</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Width Plot</w:t>
            </w:r>
          </w:p>
        </w:tc>
        <w:tc>
          <w:tcPr>
            <w:tcW w:type="dxa" w:w="29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Variable-width bar chart, width and height each field-driven.</w:t>
            </w:r>
          </w:p>
        </w:tc>
        <w:tc>
          <w:tcPr>
            <w:tcW w:type="dxa" w:w="32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Width, Height, Labels; sort by height</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Interactive chart</w:t>
            </w:r>
          </w:p>
        </w:tc>
      </w:tr>
    </w:tbl>
    <w:p>
      <w:pPr>
        <w:pStyle w:val="Heading2"/>
        <w:spacing w:after="90" w:before="240"/>
      </w:pPr>
      <w:r>
        <w:rPr>
          <w:rFonts w:ascii="Arial" w:cs="Arial" w:eastAsia="Arial" w:hAnsi="Arial"/>
          <w:b/>
          <w:bCs/>
          <w:color w:val="2B3D2E"/>
          <w:sz w:val="23"/>
          <w:szCs w:val="23"/>
        </w:rPr>
        <w:t xml:space="preserve">Sample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50"/>
        <w:gridCol w:w="3210"/>
        <w:gridCol w:w="1500"/>
      </w:tblGrid>
      <w:tr>
        <w:trPr>
          <w:tblHeader/>
        </w:trPr>
        <w:tc>
          <w:tcPr>
            <w:tcW w:type="dxa" w:w="17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w:t>
            </w:r>
          </w:p>
        </w:tc>
        <w:tc>
          <w:tcPr>
            <w:tcW w:type="dxa" w:w="295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Purpose</w:t>
            </w:r>
          </w:p>
        </w:tc>
        <w:tc>
          <w:tcPr>
            <w:tcW w:type="dxa" w:w="321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You map</w:t>
            </w:r>
          </w:p>
        </w:tc>
        <w:tc>
          <w:tcPr>
            <w:tcW w:type="dxa" w:w="15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Output</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Statistics</w:t>
            </w:r>
          </w:p>
        </w:tc>
        <w:tc>
          <w:tcPr>
            <w:tcW w:type="dxa" w:w="29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Descriptive statistics per domain, weighted or unweighted.</w:t>
            </w:r>
          </w:p>
        </w:tc>
        <w:tc>
          <w:tcPr>
            <w:tcW w:type="dxa" w:w="32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Fields (many), Domain, Weight; invalid-number handling</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Statistics table</w:t>
            </w:r>
          </w:p>
        </w:tc>
      </w:tr>
      <w:tr>
        <w:tc>
          <w:tcPr>
            <w:tcW w:type="dxa" w:w="17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Capping Analysis</w:t>
            </w:r>
          </w:p>
        </w:tc>
        <w:tc>
          <w:tcPr>
            <w:tcW w:type="dxa" w:w="295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Choose the grade top-cut for a domain and read its impact.</w:t>
            </w:r>
          </w:p>
        </w:tc>
        <w:tc>
          <w:tcPr>
            <w:tcW w:type="dxa" w:w="321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 unit (g/t, %, ppm, ppb, oz/t), XYZ, Domain filter, Weight</w:t>
            </w:r>
          </w:p>
        </w:tc>
        <w:tc>
          <w:tcPr>
            <w:tcW w:type="dxa" w:w="1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Capping levels + metal-loss</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Uncapped vs Capped</w:t>
            </w:r>
          </w:p>
        </w:tc>
        <w:tc>
          <w:tcPr>
            <w:tcW w:type="dxa" w:w="29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distribution before versus after capping.</w:t>
            </w:r>
          </w:p>
        </w:tc>
        <w:tc>
          <w:tcPr>
            <w:tcW w:type="dxa" w:w="32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Uncapped, Capped, Domain, Weight; sort order</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Comparison chart</w:t>
            </w:r>
          </w:p>
        </w:tc>
      </w:tr>
      <w:tr>
        <w:tc>
          <w:tcPr>
            <w:tcW w:type="dxa" w:w="17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Contact Analysis</w:t>
            </w:r>
          </w:p>
        </w:tc>
        <w:tc>
          <w:tcPr>
            <w:tcW w:type="dxa" w:w="295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profile across a rock-type boundary (hard, soft, transitional).</w:t>
            </w:r>
          </w:p>
        </w:tc>
        <w:tc>
          <w:tcPr>
            <w:tcW w:type="dxa" w:w="321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Grade, XYZ, Domain, Rock 1, Rock 2</w:t>
            </w:r>
          </w:p>
        </w:tc>
        <w:tc>
          <w:tcPr>
            <w:tcW w:type="dxa" w:w="1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Contact plot</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DDH Spacing</w:t>
            </w:r>
          </w:p>
        </w:tc>
        <w:tc>
          <w:tcPr>
            <w:tcW w:type="dxa" w:w="295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Nearest-neighbour drillhole spacing per domain.</w:t>
            </w:r>
          </w:p>
        </w:tc>
        <w:tc>
          <w:tcPr>
            <w:tcW w:type="dxa" w:w="321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Hole ID, XYZ, Domain</w:t>
            </w:r>
          </w:p>
        </w:tc>
        <w:tc>
          <w:tcPr>
            <w:tcW w:type="dxa" w:w="15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Spacing stats + plot</w:t>
            </w:r>
          </w:p>
        </w:tc>
      </w:tr>
      <w:tr>
        <w:tc>
          <w:tcPr>
            <w:tcW w:type="dxa" w:w="17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Thin DDH Spacing</w:t>
            </w:r>
          </w:p>
        </w:tc>
        <w:tc>
          <w:tcPr>
            <w:tcW w:type="dxa" w:w="295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Spacing tuned for thin, narrow-vein samples.</w:t>
            </w:r>
          </w:p>
        </w:tc>
        <w:tc>
          <w:tcPr>
            <w:tcW w:type="dxa" w:w="321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Hole ID, XYZ</w:t>
            </w:r>
          </w:p>
        </w:tc>
        <w:tc>
          <w:tcPr>
            <w:tcW w:type="dxa" w:w="15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Spacing analysis</w:t>
            </w:r>
          </w:p>
        </w:tc>
      </w:tr>
    </w:tbl>
    <w:p>
      <w:pPr>
        <w:spacing w:after="200" w:line="276"/>
      </w:pPr>
      <w:r>
        <w:rPr>
          <w:rFonts w:ascii="Calibri" w:cs="Calibri" w:eastAsia="Calibri" w:hAnsi="Calibri"/>
          <w:b w:val="false"/>
          <w:bCs w:val="false"/>
          <w:i/>
          <w:iCs/>
          <w:caps w:val="false"/>
          <w:color w:val="49514A"/>
          <w:sz w:val="19"/>
          <w:szCs w:val="19"/>
        </w:rPr>
        <w:t xml:space="preserve">Capping Analysis offers five linked views: </w:t>
      </w:r>
      <w:r>
        <w:rPr>
          <w:rFonts w:ascii="Calibri" w:cs="Calibri" w:eastAsia="Calibri" w:hAnsi="Calibri"/>
          <w:b w:val="false"/>
          <w:bCs w:val="false"/>
          <w:i/>
          <w:iCs/>
          <w:caps w:val="false"/>
          <w:color w:val="49514A"/>
          <w:sz w:val="19"/>
          <w:szCs w:val="19"/>
        </w:rPr>
        <w:t xml:space="preserve">Summary, 3D, Orthogonal data view, Decile Analysis, Log-Probability plot and Histogram.</w:t>
      </w:r>
    </w:p>
    <w:p>
      <w:pPr>
        <w:pStyle w:val="Heading2"/>
        <w:spacing w:after="90" w:before="240"/>
      </w:pPr>
      <w:r>
        <w:rPr>
          <w:rFonts w:ascii="Arial" w:cs="Arial" w:eastAsia="Arial" w:hAnsi="Arial"/>
          <w:b/>
          <w:bCs/>
          <w:color w:val="2B3D2E"/>
          <w:sz w:val="23"/>
          <w:szCs w:val="23"/>
        </w:rPr>
        <w:t xml:space="preserve">Block Model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w:t>
            </w:r>
          </w:p>
        </w:tc>
        <w:tc>
          <w:tcPr>
            <w:tcW w:type="dxa" w:w="37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Purpose</w:t>
            </w:r>
          </w:p>
        </w:tc>
        <w:tc>
          <w:tcPr>
            <w:tcW w:type="dxa" w:w="376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Output</w:t>
            </w:r>
          </w:p>
        </w:tc>
      </w:tr>
      <w:tr>
        <w:tc>
          <w:tcPr>
            <w:tcW w:type="dxa" w:w="19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Convert Rotations</w:t>
            </w:r>
          </w:p>
        </w:tc>
        <w:tc>
          <w:tcPr>
            <w:tcW w:type="dxa" w:w="3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Convert block-model rotation angles between software conventions, so orientations survive a package change.</w:t>
            </w:r>
          </w:p>
        </w:tc>
        <w:tc>
          <w:tcPr>
            <w:tcW w:type="dxa" w:w="37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Converted angles</w:t>
            </w:r>
          </w:p>
        </w:tc>
      </w:tr>
    </w:tbl>
    <w:p>
      <w:pPr>
        <w:pStyle w:val="Heading2"/>
        <w:spacing w:after="90" w:before="240"/>
      </w:pPr>
      <w:r>
        <w:rPr>
          <w:rFonts w:ascii="Arial" w:cs="Arial" w:eastAsia="Arial" w:hAnsi="Arial"/>
          <w:b/>
          <w:bCs/>
          <w:color w:val="2B3D2E"/>
          <w:sz w:val="23"/>
          <w:szCs w:val="23"/>
        </w:rPr>
        <w:t xml:space="preserve">Geostats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w:t>
            </w:r>
          </w:p>
        </w:tc>
        <w:tc>
          <w:tcPr>
            <w:tcW w:type="dxa" w:w="37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Purpose</w:t>
            </w:r>
          </w:p>
        </w:tc>
        <w:tc>
          <w:tcPr>
            <w:tcW w:type="dxa" w:w="376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Output</w:t>
            </w:r>
          </w:p>
        </w:tc>
      </w:tr>
      <w:tr>
        <w:tc>
          <w:tcPr>
            <w:tcW w:type="dxa" w:w="19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Gammabar Plot</w:t>
            </w:r>
          </w:p>
        </w:tc>
        <w:tc>
          <w:tcPr>
            <w:tcW w:type="dxa" w:w="3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GSLIB gammabar, the mean variogram value over a block, for change-of-support work. Set block discretisation X/Y/Z, rotations (GSLIB convention), nugget and structures (type, sill C, ranges).</w:t>
            </w:r>
          </w:p>
        </w:tc>
        <w:tc>
          <w:tcPr>
            <w:tcW w:type="dxa" w:w="37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Gammabar plot</w:t>
            </w:r>
          </w:p>
        </w:tc>
      </w:tr>
    </w:tbl>
    <w:p>
      <w:pPr>
        <w:pStyle w:val="Heading2"/>
        <w:spacing w:after="90" w:before="240"/>
      </w:pPr>
      <w:r>
        <w:rPr>
          <w:rFonts w:ascii="Arial" w:cs="Arial" w:eastAsia="Arial" w:hAnsi="Arial"/>
          <w:b/>
          <w:bCs/>
          <w:color w:val="2B3D2E"/>
          <w:sz w:val="23"/>
          <w:szCs w:val="23"/>
        </w:rPr>
        <w:t xml:space="preserve">QA/QC</w:t>
      </w:r>
    </w:p>
    <w:p>
      <w:pPr>
        <w:spacing w:after="140" w:line="276"/>
      </w:pPr>
      <w:r>
        <w:rPr>
          <w:rFonts w:ascii="Calibri" w:cs="Calibri" w:eastAsia="Calibri" w:hAnsi="Calibri"/>
          <w:b w:val="false"/>
          <w:bCs w:val="false"/>
          <w:i w:val="false"/>
          <w:iCs w:val="false"/>
          <w:caps w:val="false"/>
          <w:color w:val="1B211D"/>
          <w:sz w:val="20"/>
          <w:szCs w:val="20"/>
        </w:rPr>
        <w:t xml:space="preserve">The five control-sample tools share a rhythm: upload a CSV or Excel export, confirm the auto-mapped columns, filter to the labs and elements you care about, click Run, then export. Each produces an on-screen summary table plus downloadable Excel and PowerPoint reports, and can save its setup as a config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60"/>
        <w:gridCol w:w="4400"/>
      </w:tblGrid>
      <w:tr>
        <w:trPr>
          <w:tblHeader/>
        </w:trPr>
        <w:tc>
          <w:tcPr>
            <w:tcW w:type="dxa" w:w="17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w:t>
            </w:r>
          </w:p>
        </w:tc>
        <w:tc>
          <w:tcPr>
            <w:tcW w:type="dxa" w:w="326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Purpose</w:t>
            </w:r>
          </w:p>
        </w:tc>
        <w:tc>
          <w:tcPr>
            <w:tcW w:type="dxa" w:w="44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You map</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Standards (CRM)</w:t>
            </w:r>
          </w:p>
        </w:tc>
        <w:tc>
          <w:tcPr>
            <w:tcW w:type="dxa" w:w="32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Control charts of measured grade against a reference material certified value plus or minus SD, per element over time.</w:t>
            </w:r>
          </w:p>
        </w:tc>
        <w:tc>
          <w:tcPr>
            <w:tcW w:type="dxa" w:w="4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Date, Grade, CRM, Element, Expected Value, Project, Lab, Unit, SD/limit columns; failure criteria at EV plus or minus 1, 2 or 3 SD</w:t>
            </w:r>
          </w:p>
        </w:tc>
      </w:tr>
      <w:tr>
        <w:tc>
          <w:tcPr>
            <w:tcW w:type="dxa" w:w="17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Blanks</w:t>
            </w:r>
          </w:p>
        </w:tc>
        <w:tc>
          <w:tcPr>
            <w:tcW w:type="dxa" w:w="326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Blank-sample contamination check, flagging carry-over above an expected floor.</w:t>
            </w:r>
          </w:p>
        </w:tc>
        <w:tc>
          <w:tcPr>
            <w:tcW w:type="dxa" w:w="44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Lab, Element, Value, Date, Unit, LOD/DL, Blank-type; limits by constant per element or factor times LOD</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Duplicates</w:t>
            </w:r>
          </w:p>
        </w:tc>
        <w:tc>
          <w:tcPr>
            <w:tcW w:type="dxa" w:w="32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Precision of duplicate pairs: Thompson-Howarth, pair scatter and HARD.</w:t>
            </w:r>
          </w:p>
        </w:tc>
        <w:tc>
          <w:tcPr>
            <w:tcW w:type="dxa" w:w="4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Lab, Duplicate-type, Element, Unit, Original and Duplicate values, Date</w:t>
            </w:r>
          </w:p>
        </w:tc>
      </w:tr>
      <w:tr>
        <w:tc>
          <w:tcPr>
            <w:tcW w:type="dxa" w:w="17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Check Assays</w:t>
            </w:r>
          </w:p>
        </w:tc>
        <w:tc>
          <w:tcPr>
            <w:tcW w:type="dxa" w:w="326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Primary versus secondary (umpire) laboratory comparison.</w:t>
            </w:r>
          </w:p>
        </w:tc>
        <w:tc>
          <w:tcPr>
            <w:tcW w:type="dxa" w:w="44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Primary-lab, Secondary-lab, Element, Original and Duplicate assay, Unit, Type, Date</w:t>
            </w:r>
          </w:p>
        </w:tc>
      </w:tr>
      <w:tr>
        <w:tc>
          <w:tcPr>
            <w:tcW w:type="dxa" w:w="17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Z-Score</w:t>
            </w:r>
          </w:p>
        </w:tc>
        <w:tc>
          <w:tcPr>
            <w:tcW w:type="dxa" w:w="32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Standardised z-score of standards over time, distance from expected in SD units.</w:t>
            </w:r>
          </w:p>
        </w:tc>
        <w:tc>
          <w:tcPr>
            <w:tcW w:type="dxa" w:w="44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Element, CRM, Value, Expected, SD, Date, Company</w:t>
            </w:r>
          </w:p>
        </w:tc>
      </w:tr>
    </w:tbl>
    <w:p>
      <w:pPr>
        <w:pStyle w:val="Heading2"/>
        <w:spacing w:after="90" w:before="240"/>
      </w:pPr>
      <w:r>
        <w:rPr>
          <w:rFonts w:ascii="Arial" w:cs="Arial" w:eastAsia="Arial" w:hAnsi="Arial"/>
          <w:b/>
          <w:bCs/>
          <w:color w:val="2B3D2E"/>
          <w:sz w:val="23"/>
          <w:szCs w:val="23"/>
        </w:rPr>
        <w:t xml:space="preserve">Data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Tool</w:t>
            </w:r>
          </w:p>
        </w:tc>
        <w:tc>
          <w:tcPr>
            <w:tcW w:type="dxa" w:w="330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Purpose</w:t>
            </w:r>
          </w:p>
        </w:tc>
        <w:tc>
          <w:tcPr>
            <w:tcW w:type="dxa" w:w="4160"/>
            <w:tcBorders>
              <w:top w:val="single" w:color="D5DBD1" w:sz="4"/>
              <w:left w:val="single" w:color="D5DBD1" w:sz="4"/>
              <w:bottom w:val="single" w:color="D5DBD1" w:sz="4"/>
              <w:right w:val="single" w:color="D5DBD1" w:sz="4"/>
            </w:tcBorders>
            <w:shd w:fill="3C533C" w:color="auto" w:val="clear"/>
            <w:tcMar>
              <w:top w:type="dxa" w:w="70"/>
              <w:left w:type="dxa" w:w="110"/>
              <w:bottom w:type="dxa" w:w="70"/>
              <w:right w:type="dxa" w:w="110"/>
            </w:tcMar>
          </w:tcPr>
          <w:p>
            <w:pPr>
              <w:spacing w:after="0"/>
            </w:pPr>
            <w:r>
              <w:rPr>
                <w:rFonts w:ascii="Arial" w:cs="Arial" w:eastAsia="Arial" w:hAnsi="Arial"/>
                <w:b/>
                <w:bCs/>
                <w:caps/>
                <w:color w:val="FFFFFF"/>
                <w:spacing w:val="6"/>
                <w:sz w:val="17"/>
                <w:szCs w:val="17"/>
              </w:rPr>
              <w:t xml:space="preserve">Output</w:t>
            </w:r>
          </w:p>
        </w:tc>
      </w:tr>
      <w:tr>
        <w:tc>
          <w:tcPr>
            <w:tcW w:type="dxa" w:w="19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Data Verification</w:t>
            </w:r>
          </w:p>
        </w:tc>
        <w:tc>
          <w:tcPr>
            <w:tcW w:type="dxa" w:w="330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Merge many lab certificates and reconcile them against the assay database, flagging every mismatch. Handles header detection, merging, detection-limit conversion and matching on sample ID per element.</w:t>
            </w:r>
          </w:p>
        </w:tc>
        <w:tc>
          <w:tcPr>
            <w:tcW w:type="dxa" w:w="4160"/>
            <w:tcBorders>
              <w:top w:val="single" w:color="D5DBD1" w:sz="4"/>
              <w:left w:val="single" w:color="D5DBD1" w:sz="4"/>
              <w:bottom w:val="single" w:color="D5DBD1" w:sz="4"/>
              <w:right w:val="single" w:color="D5DBD1" w:sz="4"/>
            </w:tcBorders>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Merged CSV, per-element verification CSV, difference report</w:t>
            </w:r>
          </w:p>
        </w:tc>
      </w:tr>
      <w:tr>
        <w:tc>
          <w:tcPr>
            <w:tcW w:type="dxa" w:w="19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bCs/>
                <w:i w:val="false"/>
                <w:iCs w:val="false"/>
                <w:caps w:val="false"/>
                <w:color w:val="1B211D"/>
                <w:sz w:val="20"/>
                <w:szCs w:val="20"/>
              </w:rPr>
              <w:t xml:space="preserve">Drill Hole Comparison</w:t>
            </w:r>
          </w:p>
        </w:tc>
        <w:tc>
          <w:tcPr>
            <w:tcW w:type="dxa" w:w="330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Nearest-neighbour comparison of two datasets (for example blast holes versus drill holes) for grade reconciliation within a distance. Set grade, length, coordinate and ID fields, per-dataset capping values, one-to-one matching and a distance threshold.</w:t>
            </w:r>
          </w:p>
        </w:tc>
        <w:tc>
          <w:tcPr>
            <w:tcW w:type="dxa" w:w="4160"/>
            <w:tcBorders>
              <w:top w:val="single" w:color="D5DBD1" w:sz="4"/>
              <w:left w:val="single" w:color="D5DBD1" w:sz="4"/>
              <w:bottom w:val="single" w:color="D5DBD1" w:sz="4"/>
              <w:right w:val="single" w:color="D5DBD1" w:sz="4"/>
            </w:tcBorders>
            <w:shd w:fill="F1F4EF" w:color="auto" w:val="clear"/>
            <w:tcMar>
              <w:top w:type="dxa" w:w="60"/>
              <w:left w:type="dxa" w:w="110"/>
              <w:bottom w:type="dxa" w:w="60"/>
              <w:right w:type="dxa" w:w="110"/>
            </w:tcMar>
          </w:tcPr>
          <w:p>
            <w:pPr>
              <w:spacing w:after="0"/>
            </w:pPr>
            <w:r>
              <w:rPr>
                <w:rFonts w:ascii="Calibri" w:cs="Calibri" w:eastAsia="Calibri" w:hAnsi="Calibri"/>
                <w:b w:val="false"/>
                <w:bCs w:val="false"/>
                <w:i w:val="false"/>
                <w:iCs w:val="false"/>
                <w:caps w:val="false"/>
                <w:color w:val="1B211D"/>
                <w:sz w:val="20"/>
                <w:szCs w:val="20"/>
              </w:rPr>
              <w:t xml:space="preserve">Descriptive stats, histograms, CSV</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C53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1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3C533C"/>
      <w:sz w:val="30"/>
      <w:szCs w:val="30"/>
    </w:rPr>
  </w:style>
  <w:style w:type="paragraph" w:styleId="Heading2">
    <w:name w:val="Heading 2"/>
    <w:basedOn w:val="Normal"/>
    <w:next w:val="Normal"/>
    <w:qFormat/>
    <w:rPr>
      <w:rFonts w:ascii="Arial" w:cs="Arial" w:eastAsia="Arial" w:hAnsi="Arial"/>
      <w:b/>
      <w:bCs/>
      <w:color w:val="2B3D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d0b472e9bdadef99458dd04ebd98c00fae328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Celest Tools User Manual</dc:title>
  <dc:creator>SLR Consulting</dc:creator>
  <dc:description>User manual for the SLR Celest resource estimation toolkit</dc:description>
  <cp:lastModifiedBy>Un-named</cp:lastModifiedBy>
  <cp:revision>1</cp:revision>
  <dcterms:created xsi:type="dcterms:W3CDTF">2026-09-10T17:47:03.013Z</dcterms:created>
  <dcterms:modified xsi:type="dcterms:W3CDTF">2026-09-10T17:47:03.014Z</dcterms:modified>
</cp:coreProperties>
</file>

<file path=docProps/custom.xml><?xml version="1.0" encoding="utf-8"?>
<Properties xmlns="http://schemas.openxmlformats.org/officeDocument/2006/custom-properties" xmlns:vt="http://schemas.openxmlformats.org/officeDocument/2006/docPropsVTypes"/>
</file>