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04B7402" w14:textId="77777777" w:rsidR="009E1DF9" w:rsidRDefault="00AD4D4F" w:rsidP="00AD4D4F">
      <w:pPr>
        <w:pStyle w:val="berschrift1"/>
      </w:pPr>
      <w:r>
        <w:t>Analysis of Evaluation Function</w:t>
      </w:r>
    </w:p>
    <w:p w14:paraId="29AE41E0" w14:textId="77777777" w:rsidR="00AD4D4F" w:rsidRDefault="00AD4D4F" w:rsidP="00AD4D4F">
      <w:pPr>
        <w:pStyle w:val="berschrift2"/>
      </w:pPr>
      <w:r>
        <w:t>Restrict Opponent</w:t>
      </w:r>
    </w:p>
    <w:p w14:paraId="1D21FD5A" w14:textId="77777777" w:rsidR="00AD4D4F" w:rsidRDefault="00AD4D4F" w:rsidP="00AD4D4F">
      <w:r>
        <w:t>As an easy introduction I tried a slightly modified version of the improved score. This change was also suggested during the lectures.</w:t>
      </w:r>
    </w:p>
    <w:p w14:paraId="3C012A68" w14:textId="77777777" w:rsidR="00AD4D4F" w:rsidRDefault="00AD4D4F" w:rsidP="00AD4D4F">
      <w:pPr>
        <w:jc w:val="center"/>
      </w:pPr>
      <w:r w:rsidRPr="00AD4D4F">
        <w:t>own_moves - (2 * opp_moves)</w:t>
      </w:r>
    </w:p>
    <w:p w14:paraId="13C4A0EA" w14:textId="77777777" w:rsidR="00AD4D4F" w:rsidRDefault="0026450C" w:rsidP="00AD4D4F">
      <w:r>
        <w:t>It’</w:t>
      </w:r>
      <w:r w:rsidR="00092F57">
        <w:t>s focus is to minimize the opponent’s move as much as possible.</w:t>
      </w:r>
    </w:p>
    <w:p w14:paraId="795DEF45" w14:textId="77777777" w:rsidR="00092F57" w:rsidRDefault="00092F57" w:rsidP="00AD4D4F">
      <w:r>
        <w:t>The performance against the test opponents was under 50% and performed considerably worse than the original improved score evaluation, which</w:t>
      </w:r>
      <w:r w:rsidR="00C57393">
        <w:t xml:space="preserve"> showed a performance of 70.71%, whereas ID_Improved showed a performance of 72.86%. The values of ID_Improve over all tournaments seem to vary between 5-6% points.</w:t>
      </w:r>
    </w:p>
    <w:p w14:paraId="23B12819" w14:textId="77777777" w:rsidR="00092F57" w:rsidRDefault="00092F57" w:rsidP="00AD4D4F"/>
    <w:p w14:paraId="204DB871" w14:textId="7C28660C" w:rsidR="00092F57" w:rsidRPr="00092F57" w:rsidRDefault="008443B0" w:rsidP="005A7C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Monaco" w:hAnsi="Monaco" w:cs="Monaco"/>
          <w:color w:val="000000" w:themeColor="text1"/>
          <w:sz w:val="20"/>
          <w:szCs w:val="20"/>
          <w:lang w:val="de-DE"/>
        </w:rPr>
      </w:pPr>
      <w:r>
        <w:rPr>
          <w:noProof/>
          <w:lang w:val="de-DE" w:eastAsia="de-DE"/>
        </w:rPr>
        <w:drawing>
          <wp:inline distT="0" distB="0" distL="0" distR="0" wp14:anchorId="34DFCE33" wp14:editId="6C06F7B7">
            <wp:extent cx="4572000" cy="2743200"/>
            <wp:effectExtent l="0" t="0" r="0" b="0"/>
            <wp:docPr id="1" name="Diagramm 1"/>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14:paraId="60A99307" w14:textId="77777777" w:rsidR="00092F57" w:rsidRPr="00092F57" w:rsidRDefault="00092F57" w:rsidP="00092F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de-DE"/>
        </w:rPr>
      </w:pPr>
    </w:p>
    <w:p w14:paraId="647A546C" w14:textId="70744595" w:rsidR="00092F57" w:rsidRPr="00092F57" w:rsidRDefault="00092F57" w:rsidP="00092F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de-DE"/>
        </w:rPr>
      </w:pPr>
      <w:r w:rsidRPr="00092F57">
        <w:rPr>
          <w:rFonts w:ascii="Monaco" w:hAnsi="Monaco" w:cs="Monaco"/>
          <w:color w:val="000000" w:themeColor="text1"/>
          <w:sz w:val="20"/>
          <w:szCs w:val="20"/>
          <w:lang w:val="de-DE"/>
        </w:rPr>
        <w:t>Results</w:t>
      </w:r>
      <w:r w:rsidR="008443B0">
        <w:rPr>
          <w:rFonts w:ascii="Monaco" w:hAnsi="Monaco" w:cs="Monaco"/>
          <w:color w:val="000000" w:themeColor="text1"/>
          <w:sz w:val="20"/>
          <w:szCs w:val="20"/>
          <w:lang w:val="de-DE"/>
        </w:rPr>
        <w:t xml:space="preserve"> Winrate</w:t>
      </w:r>
      <w:r w:rsidRPr="00092F57">
        <w:rPr>
          <w:rFonts w:ascii="Monaco" w:hAnsi="Monaco" w:cs="Monaco"/>
          <w:color w:val="000000" w:themeColor="text1"/>
          <w:sz w:val="20"/>
          <w:szCs w:val="20"/>
          <w:lang w:val="de-DE"/>
        </w:rPr>
        <w:t>:</w:t>
      </w:r>
    </w:p>
    <w:p w14:paraId="4405AE1E" w14:textId="77777777" w:rsidR="00092F57" w:rsidRPr="00092F57" w:rsidRDefault="00092F57" w:rsidP="00092F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de-DE"/>
        </w:rPr>
      </w:pPr>
      <w:r w:rsidRPr="00092F57">
        <w:rPr>
          <w:rFonts w:ascii="Monaco" w:hAnsi="Monaco" w:cs="Monaco"/>
          <w:color w:val="000000" w:themeColor="text1"/>
          <w:sz w:val="20"/>
          <w:szCs w:val="20"/>
          <w:lang w:val="de-DE"/>
        </w:rPr>
        <w:t>----------</w:t>
      </w:r>
    </w:p>
    <w:p w14:paraId="28F58A8B" w14:textId="77777777" w:rsidR="00092F57" w:rsidRDefault="00092F57" w:rsidP="00092F57">
      <w:pPr>
        <w:rPr>
          <w:rFonts w:ascii="Monaco" w:hAnsi="Monaco" w:cs="Monaco"/>
          <w:color w:val="000000" w:themeColor="text1"/>
          <w:sz w:val="20"/>
          <w:szCs w:val="20"/>
          <w:lang w:val="de-DE"/>
        </w:rPr>
      </w:pPr>
      <w:r w:rsidRPr="00092F57">
        <w:rPr>
          <w:rFonts w:ascii="Monaco" w:hAnsi="Monaco" w:cs="Monaco"/>
          <w:color w:val="000000" w:themeColor="text1"/>
          <w:sz w:val="20"/>
          <w:szCs w:val="20"/>
          <w:lang w:val="de-DE"/>
        </w:rPr>
        <w:t>Student             37.86%</w:t>
      </w:r>
    </w:p>
    <w:p w14:paraId="1B571F47" w14:textId="77777777" w:rsidR="00C57393" w:rsidRPr="00C57393" w:rsidRDefault="00C57393" w:rsidP="00C57393">
      <w:pPr>
        <w:rPr>
          <w:rFonts w:ascii="Monaco" w:hAnsi="Monaco" w:cs="Monaco"/>
          <w:color w:val="000000" w:themeColor="text1"/>
          <w:sz w:val="20"/>
          <w:szCs w:val="20"/>
          <w:lang w:val="de-DE"/>
        </w:rPr>
      </w:pPr>
      <w:r w:rsidRPr="00C57393">
        <w:rPr>
          <w:rFonts w:ascii="Monaco" w:hAnsi="Monaco" w:cs="Monaco"/>
          <w:color w:val="000000" w:themeColor="text1"/>
          <w:sz w:val="20"/>
          <w:szCs w:val="20"/>
          <w:lang w:val="de-DE"/>
        </w:rPr>
        <w:t>ID_Improved         72.86%</w:t>
      </w:r>
    </w:p>
    <w:p w14:paraId="7857B7F0" w14:textId="77777777" w:rsidR="00092F57" w:rsidRDefault="00092F57" w:rsidP="00092F57">
      <w:pPr>
        <w:rPr>
          <w:rFonts w:ascii="Monaco" w:hAnsi="Monaco" w:cs="Monaco"/>
          <w:color w:val="000000" w:themeColor="text1"/>
          <w:sz w:val="20"/>
          <w:szCs w:val="20"/>
          <w:lang w:val="de-DE"/>
        </w:rPr>
      </w:pPr>
    </w:p>
    <w:p w14:paraId="59CF6563" w14:textId="77777777" w:rsidR="008443B0" w:rsidRDefault="008443B0">
      <w:pPr>
        <w:rPr>
          <w:rFonts w:asciiTheme="majorHAnsi" w:eastAsiaTheme="majorEastAsia" w:hAnsiTheme="majorHAnsi" w:cstheme="majorBidi"/>
          <w:color w:val="2E74B5" w:themeColor="accent1" w:themeShade="BF"/>
          <w:sz w:val="26"/>
          <w:szCs w:val="26"/>
          <w:lang w:val="de-DE"/>
        </w:rPr>
      </w:pPr>
      <w:r>
        <w:rPr>
          <w:lang w:val="de-DE"/>
        </w:rPr>
        <w:br w:type="page"/>
      </w:r>
    </w:p>
    <w:p w14:paraId="58386786" w14:textId="6D3D0AAC" w:rsidR="00147E20" w:rsidRDefault="00C57393" w:rsidP="00C57393">
      <w:pPr>
        <w:pStyle w:val="berschrift2"/>
        <w:rPr>
          <w:lang w:val="de-DE"/>
        </w:rPr>
      </w:pPr>
      <w:r>
        <w:rPr>
          <w:lang w:val="de-DE"/>
        </w:rPr>
        <w:lastRenderedPageBreak/>
        <w:t>3/2 Ratio</w:t>
      </w:r>
    </w:p>
    <w:p w14:paraId="06E86AE8" w14:textId="77777777" w:rsidR="00C57393" w:rsidRDefault="00C57393" w:rsidP="00C57393">
      <w:r>
        <w:t>Since the “Restrict Opponent” performed badly, it is only logical to adapt the ration of my_moves and opponent_moves in the opposite way:</w:t>
      </w:r>
    </w:p>
    <w:p w14:paraId="1D59F6FD" w14:textId="77777777" w:rsidR="00C57393" w:rsidRDefault="00C57393" w:rsidP="00C57393">
      <w:pPr>
        <w:jc w:val="center"/>
      </w:pPr>
      <w:r w:rsidRPr="00C57393">
        <w:t>(3 * own_moves) - (2 * opp_moves)</w:t>
      </w:r>
    </w:p>
    <w:p w14:paraId="1F64FDF0" w14:textId="77777777" w:rsidR="00C57393" w:rsidRPr="00C57393" w:rsidRDefault="00C57393" w:rsidP="00C57393">
      <w:r>
        <w:t>Although it still lays an emphasis on the reduction of the opponents moves, its main objective is to maximize my possibilities. The results are promising. Surprisingly, the algorithm performed flawlessly against AB_Improved. Overall there is a 10 %-points performance increase over ID_Improved.</w:t>
      </w:r>
    </w:p>
    <w:p w14:paraId="006E923E" w14:textId="77777777" w:rsidR="00092F57" w:rsidRDefault="00092F57" w:rsidP="00092F57">
      <w:pPr>
        <w:rPr>
          <w:color w:val="000000" w:themeColor="text1"/>
        </w:rPr>
      </w:pPr>
    </w:p>
    <w:p w14:paraId="6B793FC3" w14:textId="042ACB8D" w:rsidR="00C57393" w:rsidRPr="00C57393" w:rsidRDefault="008443B0" w:rsidP="005A7C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Monaco" w:hAnsi="Monaco" w:cs="Monaco"/>
          <w:color w:val="000000" w:themeColor="text1"/>
          <w:sz w:val="20"/>
          <w:szCs w:val="20"/>
          <w:lang w:val="de-DE"/>
        </w:rPr>
      </w:pPr>
      <w:r>
        <w:rPr>
          <w:noProof/>
          <w:lang w:val="de-DE" w:eastAsia="de-DE"/>
        </w:rPr>
        <w:drawing>
          <wp:inline distT="0" distB="0" distL="0" distR="0" wp14:anchorId="78CF88AE" wp14:editId="4FF8DD90">
            <wp:extent cx="4572000" cy="2743200"/>
            <wp:effectExtent l="0" t="0" r="0" b="0"/>
            <wp:docPr id="2" name="Diagramm 2"/>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258FF994" w14:textId="77777777" w:rsidR="00C57393" w:rsidRPr="00C57393" w:rsidRDefault="00C57393" w:rsidP="00C5739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de-DE"/>
        </w:rPr>
      </w:pPr>
    </w:p>
    <w:p w14:paraId="1F665F3C" w14:textId="1FE35D05" w:rsidR="00C57393" w:rsidRPr="00C57393" w:rsidRDefault="00C57393" w:rsidP="00C5739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de-DE"/>
        </w:rPr>
      </w:pPr>
      <w:r w:rsidRPr="00C57393">
        <w:rPr>
          <w:rFonts w:ascii="Monaco" w:hAnsi="Monaco" w:cs="Monaco"/>
          <w:color w:val="000000" w:themeColor="text1"/>
          <w:sz w:val="20"/>
          <w:szCs w:val="20"/>
          <w:lang w:val="de-DE"/>
        </w:rPr>
        <w:t>Results</w:t>
      </w:r>
      <w:r w:rsidR="008443B0">
        <w:rPr>
          <w:rFonts w:ascii="Monaco" w:hAnsi="Monaco" w:cs="Monaco"/>
          <w:color w:val="000000" w:themeColor="text1"/>
          <w:sz w:val="20"/>
          <w:szCs w:val="20"/>
          <w:lang w:val="de-DE"/>
        </w:rPr>
        <w:t xml:space="preserve"> Winrate</w:t>
      </w:r>
      <w:r w:rsidRPr="00C57393">
        <w:rPr>
          <w:rFonts w:ascii="Monaco" w:hAnsi="Monaco" w:cs="Monaco"/>
          <w:color w:val="000000" w:themeColor="text1"/>
          <w:sz w:val="20"/>
          <w:szCs w:val="20"/>
          <w:lang w:val="de-DE"/>
        </w:rPr>
        <w:t>:</w:t>
      </w:r>
    </w:p>
    <w:p w14:paraId="35604AAD" w14:textId="77777777" w:rsidR="00C57393" w:rsidRPr="00C57393" w:rsidRDefault="00C57393" w:rsidP="00C5739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de-DE"/>
        </w:rPr>
      </w:pPr>
      <w:r w:rsidRPr="00C57393">
        <w:rPr>
          <w:rFonts w:ascii="Monaco" w:hAnsi="Monaco" w:cs="Monaco"/>
          <w:color w:val="000000" w:themeColor="text1"/>
          <w:sz w:val="20"/>
          <w:szCs w:val="20"/>
          <w:lang w:val="de-DE"/>
        </w:rPr>
        <w:t>----------</w:t>
      </w:r>
    </w:p>
    <w:p w14:paraId="4A1DAC6F" w14:textId="77777777" w:rsidR="00C57393" w:rsidRDefault="00C57393" w:rsidP="00C5739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de-DE"/>
        </w:rPr>
      </w:pPr>
      <w:r w:rsidRPr="00C57393">
        <w:rPr>
          <w:rFonts w:ascii="Monaco" w:hAnsi="Monaco" w:cs="Monaco"/>
          <w:color w:val="000000" w:themeColor="text1"/>
          <w:sz w:val="20"/>
          <w:szCs w:val="20"/>
          <w:lang w:val="de-DE"/>
        </w:rPr>
        <w:t>Student             82.14%</w:t>
      </w:r>
    </w:p>
    <w:p w14:paraId="6F1266F9" w14:textId="77777777" w:rsidR="00C57393" w:rsidRDefault="00C57393" w:rsidP="00C5739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de-DE"/>
        </w:rPr>
      </w:pPr>
      <w:r w:rsidRPr="00C57393">
        <w:rPr>
          <w:rFonts w:ascii="Monaco" w:hAnsi="Monaco" w:cs="Monaco"/>
          <w:color w:val="000000" w:themeColor="text1"/>
          <w:sz w:val="20"/>
          <w:szCs w:val="20"/>
          <w:lang w:val="de-DE"/>
        </w:rPr>
        <w:t>ID_Improved         72.14%</w:t>
      </w:r>
    </w:p>
    <w:p w14:paraId="30056122" w14:textId="77777777" w:rsidR="00C57393" w:rsidRDefault="00C57393" w:rsidP="00C5739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de-DE"/>
        </w:rPr>
      </w:pPr>
    </w:p>
    <w:p w14:paraId="596C26CC" w14:textId="77777777" w:rsidR="00C57393" w:rsidRDefault="00C57393" w:rsidP="00C5739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de-DE"/>
        </w:rPr>
      </w:pPr>
    </w:p>
    <w:p w14:paraId="25194AF6" w14:textId="77777777" w:rsidR="00C57393" w:rsidRDefault="00C57393">
      <w:pPr>
        <w:rPr>
          <w:rFonts w:ascii="Monaco" w:hAnsi="Monaco" w:cs="Monaco"/>
          <w:color w:val="000000" w:themeColor="text1"/>
          <w:sz w:val="20"/>
          <w:szCs w:val="20"/>
          <w:lang w:val="de-DE"/>
        </w:rPr>
      </w:pPr>
      <w:r>
        <w:rPr>
          <w:rFonts w:ascii="Monaco" w:hAnsi="Monaco" w:cs="Monaco"/>
          <w:color w:val="000000" w:themeColor="text1"/>
          <w:sz w:val="20"/>
          <w:szCs w:val="20"/>
          <w:lang w:val="de-DE"/>
        </w:rPr>
        <w:br w:type="page"/>
      </w:r>
    </w:p>
    <w:p w14:paraId="565D7397" w14:textId="77777777" w:rsidR="00C57393" w:rsidRDefault="00526E80" w:rsidP="00BD7138">
      <w:pPr>
        <w:pStyle w:val="berschrift2"/>
        <w:rPr>
          <w:lang w:val="de-DE"/>
        </w:rPr>
      </w:pPr>
      <w:r>
        <w:rPr>
          <w:lang w:val="de-DE"/>
        </w:rPr>
        <w:t>3/2 Late-Game Variation</w:t>
      </w:r>
    </w:p>
    <w:p w14:paraId="5A2858D9" w14:textId="77777777" w:rsidR="00526E80" w:rsidRDefault="00526E80" w:rsidP="00526E80">
      <w:r>
        <w:t xml:space="preserve">As in late-game it might be advantageous to increase the focus </w:t>
      </w:r>
      <w:r w:rsidR="00E04E39">
        <w:t xml:space="preserve">on limiting your opponents possibilities, a variation was examined where the focus on the opponents move is linearly increased by the move counter of the game. </w:t>
      </w:r>
    </w:p>
    <w:p w14:paraId="58E5535F" w14:textId="77777777" w:rsidR="00E04E39" w:rsidRDefault="00E04E39" w:rsidP="00E04E39">
      <w:pPr>
        <w:jc w:val="center"/>
      </w:pPr>
      <w:r w:rsidRPr="00E04E39">
        <w:t>(3 * own_moves) - ((2 + (game</w:t>
      </w:r>
      <w:r>
        <w:t>.move_count / 15)) * opp_moves)</w:t>
      </w:r>
    </w:p>
    <w:p w14:paraId="70BC5BD8" w14:textId="77777777" w:rsidR="00E04E39" w:rsidRDefault="00E04E39" w:rsidP="00526E80">
      <w:r>
        <w:t xml:space="preserve">The evaluation function performed worse than ID_Improved but still better than the first heuristic: </w:t>
      </w:r>
    </w:p>
    <w:p w14:paraId="627DA686" w14:textId="77777777" w:rsidR="00E04E39" w:rsidRDefault="00E04E39" w:rsidP="00E04E3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de-DE"/>
        </w:rPr>
      </w:pPr>
    </w:p>
    <w:p w14:paraId="55A51B61" w14:textId="4459CACC" w:rsidR="008443B0" w:rsidRPr="00E04E39" w:rsidRDefault="008443B0" w:rsidP="005A7C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Monaco" w:hAnsi="Monaco" w:cs="Monaco"/>
          <w:color w:val="000000" w:themeColor="text1"/>
          <w:sz w:val="20"/>
          <w:szCs w:val="20"/>
          <w:lang w:val="de-DE"/>
        </w:rPr>
      </w:pPr>
      <w:r>
        <w:rPr>
          <w:noProof/>
          <w:lang w:val="de-DE" w:eastAsia="de-DE"/>
        </w:rPr>
        <w:drawing>
          <wp:inline distT="0" distB="0" distL="0" distR="0" wp14:anchorId="43C5C2B6" wp14:editId="5F3A9C11">
            <wp:extent cx="4572000" cy="2743200"/>
            <wp:effectExtent l="0" t="0" r="0" b="0"/>
            <wp:docPr id="3" name="Diagramm 3"/>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096A41D8" w14:textId="77777777" w:rsidR="00E04E39" w:rsidRPr="00E04E39" w:rsidRDefault="00E04E39" w:rsidP="00E04E3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de-DE"/>
        </w:rPr>
      </w:pPr>
    </w:p>
    <w:p w14:paraId="4C6CA2CE" w14:textId="3342AC93" w:rsidR="00E04E39" w:rsidRPr="00E04E39" w:rsidRDefault="00E04E39" w:rsidP="00E04E3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de-DE"/>
        </w:rPr>
      </w:pPr>
      <w:r w:rsidRPr="00E04E39">
        <w:rPr>
          <w:rFonts w:ascii="Monaco" w:hAnsi="Monaco" w:cs="Monaco"/>
          <w:color w:val="000000" w:themeColor="text1"/>
          <w:sz w:val="20"/>
          <w:szCs w:val="20"/>
          <w:lang w:val="de-DE"/>
        </w:rPr>
        <w:t>Results</w:t>
      </w:r>
      <w:r w:rsidR="008443B0">
        <w:rPr>
          <w:rFonts w:ascii="Monaco" w:hAnsi="Monaco" w:cs="Monaco"/>
          <w:color w:val="000000" w:themeColor="text1"/>
          <w:sz w:val="20"/>
          <w:szCs w:val="20"/>
          <w:lang w:val="de-DE"/>
        </w:rPr>
        <w:t xml:space="preserve"> Winrate</w:t>
      </w:r>
      <w:r w:rsidRPr="00E04E39">
        <w:rPr>
          <w:rFonts w:ascii="Monaco" w:hAnsi="Monaco" w:cs="Monaco"/>
          <w:color w:val="000000" w:themeColor="text1"/>
          <w:sz w:val="20"/>
          <w:szCs w:val="20"/>
          <w:lang w:val="de-DE"/>
        </w:rPr>
        <w:t>:</w:t>
      </w:r>
    </w:p>
    <w:p w14:paraId="7EAEA088" w14:textId="77777777" w:rsidR="00E04E39" w:rsidRPr="00E04E39" w:rsidRDefault="00E04E39" w:rsidP="00E04E3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de-DE"/>
        </w:rPr>
      </w:pPr>
      <w:r w:rsidRPr="00E04E39">
        <w:rPr>
          <w:rFonts w:ascii="Monaco" w:hAnsi="Monaco" w:cs="Monaco"/>
          <w:color w:val="000000" w:themeColor="text1"/>
          <w:sz w:val="20"/>
          <w:szCs w:val="20"/>
          <w:lang w:val="de-DE"/>
        </w:rPr>
        <w:t>----------</w:t>
      </w:r>
    </w:p>
    <w:p w14:paraId="0C519099" w14:textId="77777777" w:rsidR="00E04E39" w:rsidRDefault="00E04E39" w:rsidP="00E04E39">
      <w:pPr>
        <w:rPr>
          <w:rFonts w:ascii="Monaco" w:hAnsi="Monaco" w:cs="Monaco"/>
          <w:color w:val="000000" w:themeColor="text1"/>
          <w:sz w:val="20"/>
          <w:szCs w:val="20"/>
          <w:lang w:val="de-DE"/>
        </w:rPr>
      </w:pPr>
      <w:r w:rsidRPr="00E04E39">
        <w:rPr>
          <w:rFonts w:ascii="Monaco" w:hAnsi="Monaco" w:cs="Monaco"/>
          <w:color w:val="000000" w:themeColor="text1"/>
          <w:sz w:val="20"/>
          <w:szCs w:val="20"/>
          <w:lang w:val="de-DE"/>
        </w:rPr>
        <w:t>Student             64.29%</w:t>
      </w:r>
    </w:p>
    <w:p w14:paraId="7FF10B53" w14:textId="77777777" w:rsidR="00E04E39" w:rsidRPr="00E04E39" w:rsidRDefault="00E04E39" w:rsidP="00E04E39">
      <w:pPr>
        <w:rPr>
          <w:color w:val="000000" w:themeColor="text1"/>
        </w:rPr>
      </w:pPr>
      <w:r w:rsidRPr="00E04E39">
        <w:rPr>
          <w:rFonts w:ascii="Monaco" w:hAnsi="Monaco" w:cs="Monaco"/>
          <w:color w:val="000000" w:themeColor="text1"/>
          <w:sz w:val="20"/>
          <w:szCs w:val="20"/>
          <w:lang w:val="de-DE"/>
        </w:rPr>
        <w:t>ID_Improved         75.71%</w:t>
      </w:r>
    </w:p>
    <w:p w14:paraId="5D4C7319" w14:textId="77777777" w:rsidR="00C57393" w:rsidRDefault="00C57393" w:rsidP="00092F57">
      <w:pPr>
        <w:rPr>
          <w:color w:val="000000" w:themeColor="text1"/>
        </w:rPr>
      </w:pPr>
    </w:p>
    <w:p w14:paraId="58E88156" w14:textId="77777777" w:rsidR="00E04E39" w:rsidRDefault="00E04E39" w:rsidP="00E04E39">
      <w:pPr>
        <w:pStyle w:val="berschrift2"/>
      </w:pPr>
      <w:r>
        <w:t>Final Choice</w:t>
      </w:r>
    </w:p>
    <w:p w14:paraId="6AB6B8B9" w14:textId="5BE4159B" w:rsidR="00E04E39" w:rsidRPr="00E04E39" w:rsidRDefault="00E04E39" w:rsidP="00E04E39">
      <w:r>
        <w:t xml:space="preserve">In the end, the only wise choice is to go with the “3/2 Ratio” evaluation function. </w:t>
      </w:r>
      <w:r w:rsidR="002756D2">
        <w:t>The first reason is that i</w:t>
      </w:r>
      <w:r>
        <w:t>t has perf</w:t>
      </w:r>
      <w:r w:rsidR="002756D2">
        <w:t>ormed outstandingly well with a</w:t>
      </w:r>
      <w:r>
        <w:t xml:space="preserve"> 10 %-</w:t>
      </w:r>
      <w:r w:rsidR="00236C88">
        <w:t>point increase over ID_Improved and more +20 improv</w:t>
      </w:r>
      <w:r w:rsidR="008443B0">
        <w:t>ement over the other heuristics</w:t>
      </w:r>
      <w:r w:rsidR="00236C88">
        <w:t>.</w:t>
      </w:r>
      <w:r w:rsidR="002756D2">
        <w:t xml:space="preserve"> Additionally it has been shown in the tests, that</w:t>
      </w:r>
      <w:r w:rsidR="00AE7A94">
        <w:t xml:space="preserve"> a presumably late game focused heuristic is not working out. It could also be, that the assumption, that it is late game focused, is wrong. Trying to mix the late-game-focus with the better performing 3/2 Ratio heuristic ended up in a more complex, calculation heavier heuristic. The performance decrease over 3/2 Ratio can be explained by its higher complexity, which is a trade-off for less search-depth, as well as its increased focus on the late game. Maybe with more computational power the Late-Game variation performs better.</w:t>
      </w:r>
      <w:bookmarkStart w:id="0" w:name="_GoBack"/>
      <w:bookmarkEnd w:id="0"/>
    </w:p>
    <w:sectPr w:rsidR="00E04E39" w:rsidRPr="00E04E39" w:rsidSect="003A09E6">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F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Monaco">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4D4F"/>
    <w:rsid w:val="00092F57"/>
    <w:rsid w:val="00147E20"/>
    <w:rsid w:val="00236C88"/>
    <w:rsid w:val="0026450C"/>
    <w:rsid w:val="002756D2"/>
    <w:rsid w:val="003A09E6"/>
    <w:rsid w:val="004B1031"/>
    <w:rsid w:val="00526E80"/>
    <w:rsid w:val="005A7CCF"/>
    <w:rsid w:val="00637DB1"/>
    <w:rsid w:val="008443B0"/>
    <w:rsid w:val="008930CE"/>
    <w:rsid w:val="00934022"/>
    <w:rsid w:val="00AD4D4F"/>
    <w:rsid w:val="00AE7A94"/>
    <w:rsid w:val="00BD7138"/>
    <w:rsid w:val="00C17239"/>
    <w:rsid w:val="00C57393"/>
    <w:rsid w:val="00CC38A6"/>
    <w:rsid w:val="00D04A8C"/>
    <w:rsid w:val="00DD4DC9"/>
    <w:rsid w:val="00E04E39"/>
    <w:rsid w:val="00F2015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57BA5C0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Pr>
      <w:lang w:val="en-GB"/>
    </w:rPr>
  </w:style>
  <w:style w:type="paragraph" w:styleId="berschrift1">
    <w:name w:val="heading 1"/>
    <w:basedOn w:val="Standard"/>
    <w:next w:val="Standard"/>
    <w:link w:val="berschrift1Zchn"/>
    <w:uiPriority w:val="9"/>
    <w:qFormat/>
    <w:rsid w:val="00AD4D4F"/>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AD4D4F"/>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AD4D4F"/>
    <w:rPr>
      <w:rFonts w:asciiTheme="majorHAnsi" w:eastAsiaTheme="majorEastAsia" w:hAnsiTheme="majorHAnsi" w:cstheme="majorBidi"/>
      <w:color w:val="2E74B5" w:themeColor="accent1" w:themeShade="BF"/>
      <w:sz w:val="32"/>
      <w:szCs w:val="32"/>
      <w:lang w:val="en-GB"/>
    </w:rPr>
  </w:style>
  <w:style w:type="character" w:customStyle="1" w:styleId="berschrift2Zchn">
    <w:name w:val="Überschrift 2 Zchn"/>
    <w:basedOn w:val="Absatz-Standardschriftart"/>
    <w:link w:val="berschrift2"/>
    <w:uiPriority w:val="9"/>
    <w:rsid w:val="00AD4D4F"/>
    <w:rPr>
      <w:rFonts w:asciiTheme="majorHAnsi" w:eastAsiaTheme="majorEastAsia" w:hAnsiTheme="majorHAnsi" w:cstheme="majorBidi"/>
      <w:color w:val="2E74B5" w:themeColor="accent1" w:themeShade="BF"/>
      <w:sz w:val="26"/>
      <w:szCs w:val="2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chart" Target="charts/chart1.xml"/><Relationship Id="rId5" Type="http://schemas.openxmlformats.org/officeDocument/2006/relationships/chart" Target="charts/chart2.xml"/><Relationship Id="rId6" Type="http://schemas.openxmlformats.org/officeDocument/2006/relationships/chart" Target="charts/chart3.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charts/_rels/chart1.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oleObject" Target="Arbeitsmappe1" TargetMode="External"/></Relationships>
</file>

<file path=word/charts/_rels/chart2.xml.rels><?xml version="1.0" encoding="UTF-8" standalone="yes"?>
<Relationships xmlns="http://schemas.openxmlformats.org/package/2006/relationships"><Relationship Id="rId1" Type="http://schemas.microsoft.com/office/2011/relationships/chartStyle" Target="style2.xml"/><Relationship Id="rId2" Type="http://schemas.microsoft.com/office/2011/relationships/chartColorStyle" Target="colors2.xml"/><Relationship Id="rId3" Type="http://schemas.openxmlformats.org/officeDocument/2006/relationships/oleObject" Target="Arbeitsmappe1" TargetMode="External"/></Relationships>
</file>

<file path=word/charts/_rels/chart3.xml.rels><?xml version="1.0" encoding="UTF-8" standalone="yes"?>
<Relationships xmlns="http://schemas.openxmlformats.org/package/2006/relationships"><Relationship Id="rId1" Type="http://schemas.microsoft.com/office/2011/relationships/chartStyle" Target="style3.xml"/><Relationship Id="rId2" Type="http://schemas.microsoft.com/office/2011/relationships/chartColorStyle" Target="colors3.xml"/><Relationship Id="rId3" Type="http://schemas.openxmlformats.org/officeDocument/2006/relationships/oleObject" Target="Arbeitsmappe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de-CH"/>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de-DE"/>
              <a:t>Restrict Opponent</a:t>
            </a:r>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barChart>
        <c:barDir val="col"/>
        <c:grouping val="clustered"/>
        <c:varyColors val="0"/>
        <c:ser>
          <c:idx val="0"/>
          <c:order val="0"/>
          <c:tx>
            <c:strRef>
              <c:f>Tabelle1!$B$26</c:f>
              <c:strCache>
                <c:ptCount val="1"/>
                <c:pt idx="0">
                  <c:v>Wins Student</c:v>
                </c:pt>
              </c:strCache>
            </c:strRef>
          </c:tx>
          <c:spPr>
            <a:solidFill>
              <a:schemeClr val="accent1"/>
            </a:solidFill>
            <a:ln>
              <a:noFill/>
            </a:ln>
            <a:effectLst/>
          </c:spPr>
          <c:invertIfNegative val="0"/>
          <c:cat>
            <c:strRef>
              <c:f>Tabelle1!$A$27:$A$33</c:f>
              <c:strCache>
                <c:ptCount val="7"/>
                <c:pt idx="0">
                  <c:v>vs Random</c:v>
                </c:pt>
                <c:pt idx="1">
                  <c:v>vs MM_Null</c:v>
                </c:pt>
                <c:pt idx="2">
                  <c:v>vs MM_Open</c:v>
                </c:pt>
                <c:pt idx="3">
                  <c:v>vs MM_Improved</c:v>
                </c:pt>
                <c:pt idx="4">
                  <c:v>vs AB_Null</c:v>
                </c:pt>
                <c:pt idx="5">
                  <c:v>vs AB_Open</c:v>
                </c:pt>
                <c:pt idx="6">
                  <c:v>vs AB_Improved</c:v>
                </c:pt>
              </c:strCache>
            </c:strRef>
          </c:cat>
          <c:val>
            <c:numRef>
              <c:f>Tabelle1!$B$27:$B$33</c:f>
              <c:numCache>
                <c:formatCode>General</c:formatCode>
                <c:ptCount val="7"/>
                <c:pt idx="0">
                  <c:v>5.0</c:v>
                </c:pt>
                <c:pt idx="1">
                  <c:v>10.0</c:v>
                </c:pt>
                <c:pt idx="2">
                  <c:v>7.0</c:v>
                </c:pt>
                <c:pt idx="3">
                  <c:v>5.0</c:v>
                </c:pt>
                <c:pt idx="4">
                  <c:v>9.0</c:v>
                </c:pt>
                <c:pt idx="5">
                  <c:v>9.0</c:v>
                </c:pt>
                <c:pt idx="6">
                  <c:v>8.0</c:v>
                </c:pt>
              </c:numCache>
            </c:numRef>
          </c:val>
        </c:ser>
        <c:ser>
          <c:idx val="1"/>
          <c:order val="1"/>
          <c:tx>
            <c:strRef>
              <c:f>Tabelle1!$C$26</c:f>
              <c:strCache>
                <c:ptCount val="1"/>
                <c:pt idx="0">
                  <c:v>Losses Student</c:v>
                </c:pt>
              </c:strCache>
            </c:strRef>
          </c:tx>
          <c:spPr>
            <a:solidFill>
              <a:schemeClr val="accent2"/>
            </a:solidFill>
            <a:ln>
              <a:noFill/>
            </a:ln>
            <a:effectLst/>
          </c:spPr>
          <c:invertIfNegative val="0"/>
          <c:cat>
            <c:strRef>
              <c:f>Tabelle1!$A$27:$A$33</c:f>
              <c:strCache>
                <c:ptCount val="7"/>
                <c:pt idx="0">
                  <c:v>vs Random</c:v>
                </c:pt>
                <c:pt idx="1">
                  <c:v>vs MM_Null</c:v>
                </c:pt>
                <c:pt idx="2">
                  <c:v>vs MM_Open</c:v>
                </c:pt>
                <c:pt idx="3">
                  <c:v>vs MM_Improved</c:v>
                </c:pt>
                <c:pt idx="4">
                  <c:v>vs AB_Null</c:v>
                </c:pt>
                <c:pt idx="5">
                  <c:v>vs AB_Open</c:v>
                </c:pt>
                <c:pt idx="6">
                  <c:v>vs AB_Improved</c:v>
                </c:pt>
              </c:strCache>
            </c:strRef>
          </c:cat>
          <c:val>
            <c:numRef>
              <c:f>Tabelle1!$C$27:$C$33</c:f>
              <c:numCache>
                <c:formatCode>General</c:formatCode>
                <c:ptCount val="7"/>
                <c:pt idx="0">
                  <c:v>15.0</c:v>
                </c:pt>
                <c:pt idx="1">
                  <c:v>10.0</c:v>
                </c:pt>
                <c:pt idx="2">
                  <c:v>13.0</c:v>
                </c:pt>
                <c:pt idx="3">
                  <c:v>15.0</c:v>
                </c:pt>
                <c:pt idx="4">
                  <c:v>11.0</c:v>
                </c:pt>
                <c:pt idx="5">
                  <c:v>11.0</c:v>
                </c:pt>
                <c:pt idx="6">
                  <c:v>12.0</c:v>
                </c:pt>
              </c:numCache>
            </c:numRef>
          </c:val>
        </c:ser>
        <c:ser>
          <c:idx val="2"/>
          <c:order val="2"/>
          <c:tx>
            <c:strRef>
              <c:f>Tabelle1!$D$26</c:f>
              <c:strCache>
                <c:ptCount val="1"/>
                <c:pt idx="0">
                  <c:v>Wins ID_Improved</c:v>
                </c:pt>
              </c:strCache>
            </c:strRef>
          </c:tx>
          <c:spPr>
            <a:solidFill>
              <a:schemeClr val="accent3"/>
            </a:solidFill>
            <a:ln>
              <a:noFill/>
            </a:ln>
            <a:effectLst/>
          </c:spPr>
          <c:invertIfNegative val="0"/>
          <c:cat>
            <c:strRef>
              <c:f>Tabelle1!$A$27:$A$33</c:f>
              <c:strCache>
                <c:ptCount val="7"/>
                <c:pt idx="0">
                  <c:v>vs Random</c:v>
                </c:pt>
                <c:pt idx="1">
                  <c:v>vs MM_Null</c:v>
                </c:pt>
                <c:pt idx="2">
                  <c:v>vs MM_Open</c:v>
                </c:pt>
                <c:pt idx="3">
                  <c:v>vs MM_Improved</c:v>
                </c:pt>
                <c:pt idx="4">
                  <c:v>vs AB_Null</c:v>
                </c:pt>
                <c:pt idx="5">
                  <c:v>vs AB_Open</c:v>
                </c:pt>
                <c:pt idx="6">
                  <c:v>vs AB_Improved</c:v>
                </c:pt>
              </c:strCache>
            </c:strRef>
          </c:cat>
          <c:val>
            <c:numRef>
              <c:f>Tabelle1!$D$27:$D$33</c:f>
              <c:numCache>
                <c:formatCode>General</c:formatCode>
                <c:ptCount val="7"/>
                <c:pt idx="0">
                  <c:v>16.0</c:v>
                </c:pt>
                <c:pt idx="1">
                  <c:v>17.0</c:v>
                </c:pt>
                <c:pt idx="2">
                  <c:v>13.0</c:v>
                </c:pt>
                <c:pt idx="3">
                  <c:v>13.0</c:v>
                </c:pt>
                <c:pt idx="4">
                  <c:v>17.0</c:v>
                </c:pt>
                <c:pt idx="5">
                  <c:v>13.0</c:v>
                </c:pt>
                <c:pt idx="6">
                  <c:v>17.0</c:v>
                </c:pt>
              </c:numCache>
            </c:numRef>
          </c:val>
        </c:ser>
        <c:ser>
          <c:idx val="3"/>
          <c:order val="3"/>
          <c:tx>
            <c:strRef>
              <c:f>Tabelle1!$E$26</c:f>
              <c:strCache>
                <c:ptCount val="1"/>
                <c:pt idx="0">
                  <c:v>Losses ID_Improved</c:v>
                </c:pt>
              </c:strCache>
            </c:strRef>
          </c:tx>
          <c:spPr>
            <a:solidFill>
              <a:schemeClr val="accent4"/>
            </a:solidFill>
            <a:ln>
              <a:noFill/>
            </a:ln>
            <a:effectLst/>
          </c:spPr>
          <c:invertIfNegative val="0"/>
          <c:cat>
            <c:strRef>
              <c:f>Tabelle1!$A$27:$A$33</c:f>
              <c:strCache>
                <c:ptCount val="7"/>
                <c:pt idx="0">
                  <c:v>vs Random</c:v>
                </c:pt>
                <c:pt idx="1">
                  <c:v>vs MM_Null</c:v>
                </c:pt>
                <c:pt idx="2">
                  <c:v>vs MM_Open</c:v>
                </c:pt>
                <c:pt idx="3">
                  <c:v>vs MM_Improved</c:v>
                </c:pt>
                <c:pt idx="4">
                  <c:v>vs AB_Null</c:v>
                </c:pt>
                <c:pt idx="5">
                  <c:v>vs AB_Open</c:v>
                </c:pt>
                <c:pt idx="6">
                  <c:v>vs AB_Improved</c:v>
                </c:pt>
              </c:strCache>
            </c:strRef>
          </c:cat>
          <c:val>
            <c:numRef>
              <c:f>Tabelle1!$E$27:$E$33</c:f>
              <c:numCache>
                <c:formatCode>General</c:formatCode>
                <c:ptCount val="7"/>
                <c:pt idx="0">
                  <c:v>4.0</c:v>
                </c:pt>
                <c:pt idx="1">
                  <c:v>3.0</c:v>
                </c:pt>
                <c:pt idx="2">
                  <c:v>7.0</c:v>
                </c:pt>
                <c:pt idx="3">
                  <c:v>7.0</c:v>
                </c:pt>
                <c:pt idx="4">
                  <c:v>3.0</c:v>
                </c:pt>
                <c:pt idx="5">
                  <c:v>7.0</c:v>
                </c:pt>
                <c:pt idx="6">
                  <c:v>3.0</c:v>
                </c:pt>
              </c:numCache>
            </c:numRef>
          </c:val>
        </c:ser>
        <c:dLbls>
          <c:showLegendKey val="0"/>
          <c:showVal val="0"/>
          <c:showCatName val="0"/>
          <c:showSerName val="0"/>
          <c:showPercent val="0"/>
          <c:showBubbleSize val="0"/>
        </c:dLbls>
        <c:gapWidth val="219"/>
        <c:overlap val="-27"/>
        <c:axId val="-1045516320"/>
        <c:axId val="-1045571024"/>
      </c:barChart>
      <c:catAx>
        <c:axId val="-104551632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1045571024"/>
        <c:crosses val="autoZero"/>
        <c:auto val="1"/>
        <c:lblAlgn val="ctr"/>
        <c:lblOffset val="100"/>
        <c:noMultiLvlLbl val="0"/>
      </c:catAx>
      <c:valAx>
        <c:axId val="-104557102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1045516320"/>
        <c:crosses val="autoZero"/>
        <c:crossBetween val="between"/>
      </c:valAx>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de-CH"/>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de-DE"/>
              <a:t>3/2 Ratio</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barChart>
        <c:barDir val="col"/>
        <c:grouping val="clustered"/>
        <c:varyColors val="0"/>
        <c:ser>
          <c:idx val="0"/>
          <c:order val="0"/>
          <c:tx>
            <c:strRef>
              <c:f>Tabelle1!$H$1</c:f>
              <c:strCache>
                <c:ptCount val="1"/>
                <c:pt idx="0">
                  <c:v>Wins Student</c:v>
                </c:pt>
              </c:strCache>
            </c:strRef>
          </c:tx>
          <c:spPr>
            <a:solidFill>
              <a:schemeClr val="accent1"/>
            </a:solidFill>
            <a:ln>
              <a:noFill/>
            </a:ln>
            <a:effectLst/>
          </c:spPr>
          <c:invertIfNegative val="0"/>
          <c:cat>
            <c:strRef>
              <c:f>Tabelle1!$G$2:$G$8</c:f>
              <c:strCache>
                <c:ptCount val="7"/>
                <c:pt idx="0">
                  <c:v>vs Random</c:v>
                </c:pt>
                <c:pt idx="1">
                  <c:v>vs MM_Null</c:v>
                </c:pt>
                <c:pt idx="2">
                  <c:v>vs MM_Open</c:v>
                </c:pt>
                <c:pt idx="3">
                  <c:v>vs MM_Improved</c:v>
                </c:pt>
                <c:pt idx="4">
                  <c:v>vs AB_Null</c:v>
                </c:pt>
                <c:pt idx="5">
                  <c:v>vs AB_Open</c:v>
                </c:pt>
                <c:pt idx="6">
                  <c:v>vs AB_Improved</c:v>
                </c:pt>
              </c:strCache>
            </c:strRef>
          </c:cat>
          <c:val>
            <c:numRef>
              <c:f>Tabelle1!$H$2:$H$8</c:f>
              <c:numCache>
                <c:formatCode>General</c:formatCode>
                <c:ptCount val="7"/>
                <c:pt idx="0">
                  <c:v>18.0</c:v>
                </c:pt>
                <c:pt idx="1">
                  <c:v>15.0</c:v>
                </c:pt>
                <c:pt idx="2">
                  <c:v>14.0</c:v>
                </c:pt>
                <c:pt idx="3">
                  <c:v>16.0</c:v>
                </c:pt>
                <c:pt idx="4">
                  <c:v>17.0</c:v>
                </c:pt>
                <c:pt idx="5">
                  <c:v>15.0</c:v>
                </c:pt>
                <c:pt idx="6">
                  <c:v>20.0</c:v>
                </c:pt>
              </c:numCache>
            </c:numRef>
          </c:val>
        </c:ser>
        <c:ser>
          <c:idx val="1"/>
          <c:order val="1"/>
          <c:tx>
            <c:strRef>
              <c:f>Tabelle1!$I$1</c:f>
              <c:strCache>
                <c:ptCount val="1"/>
                <c:pt idx="0">
                  <c:v>Losses Student</c:v>
                </c:pt>
              </c:strCache>
            </c:strRef>
          </c:tx>
          <c:spPr>
            <a:solidFill>
              <a:schemeClr val="accent2"/>
            </a:solidFill>
            <a:ln>
              <a:noFill/>
            </a:ln>
            <a:effectLst/>
          </c:spPr>
          <c:invertIfNegative val="0"/>
          <c:cat>
            <c:strRef>
              <c:f>Tabelle1!$G$2:$G$8</c:f>
              <c:strCache>
                <c:ptCount val="7"/>
                <c:pt idx="0">
                  <c:v>vs Random</c:v>
                </c:pt>
                <c:pt idx="1">
                  <c:v>vs MM_Null</c:v>
                </c:pt>
                <c:pt idx="2">
                  <c:v>vs MM_Open</c:v>
                </c:pt>
                <c:pt idx="3">
                  <c:v>vs MM_Improved</c:v>
                </c:pt>
                <c:pt idx="4">
                  <c:v>vs AB_Null</c:v>
                </c:pt>
                <c:pt idx="5">
                  <c:v>vs AB_Open</c:v>
                </c:pt>
                <c:pt idx="6">
                  <c:v>vs AB_Improved</c:v>
                </c:pt>
              </c:strCache>
            </c:strRef>
          </c:cat>
          <c:val>
            <c:numRef>
              <c:f>Tabelle1!$I$2:$I$8</c:f>
              <c:numCache>
                <c:formatCode>General</c:formatCode>
                <c:ptCount val="7"/>
                <c:pt idx="0">
                  <c:v>2.0</c:v>
                </c:pt>
                <c:pt idx="1">
                  <c:v>5.0</c:v>
                </c:pt>
                <c:pt idx="2">
                  <c:v>6.0</c:v>
                </c:pt>
                <c:pt idx="3">
                  <c:v>4.0</c:v>
                </c:pt>
                <c:pt idx="4">
                  <c:v>3.0</c:v>
                </c:pt>
                <c:pt idx="5">
                  <c:v>5.0</c:v>
                </c:pt>
                <c:pt idx="6">
                  <c:v>0.0</c:v>
                </c:pt>
              </c:numCache>
            </c:numRef>
          </c:val>
        </c:ser>
        <c:ser>
          <c:idx val="2"/>
          <c:order val="2"/>
          <c:tx>
            <c:strRef>
              <c:f>Tabelle1!$J$1</c:f>
              <c:strCache>
                <c:ptCount val="1"/>
                <c:pt idx="0">
                  <c:v>Wins ID_Improved</c:v>
                </c:pt>
              </c:strCache>
            </c:strRef>
          </c:tx>
          <c:spPr>
            <a:solidFill>
              <a:schemeClr val="accent3"/>
            </a:solidFill>
            <a:ln>
              <a:noFill/>
            </a:ln>
            <a:effectLst/>
          </c:spPr>
          <c:invertIfNegative val="0"/>
          <c:cat>
            <c:strRef>
              <c:f>Tabelle1!$G$2:$G$8</c:f>
              <c:strCache>
                <c:ptCount val="7"/>
                <c:pt idx="0">
                  <c:v>vs Random</c:v>
                </c:pt>
                <c:pt idx="1">
                  <c:v>vs MM_Null</c:v>
                </c:pt>
                <c:pt idx="2">
                  <c:v>vs MM_Open</c:v>
                </c:pt>
                <c:pt idx="3">
                  <c:v>vs MM_Improved</c:v>
                </c:pt>
                <c:pt idx="4">
                  <c:v>vs AB_Null</c:v>
                </c:pt>
                <c:pt idx="5">
                  <c:v>vs AB_Open</c:v>
                </c:pt>
                <c:pt idx="6">
                  <c:v>vs AB_Improved</c:v>
                </c:pt>
              </c:strCache>
            </c:strRef>
          </c:cat>
          <c:val>
            <c:numRef>
              <c:f>Tabelle1!$J$2:$J$8</c:f>
              <c:numCache>
                <c:formatCode>General</c:formatCode>
                <c:ptCount val="7"/>
                <c:pt idx="0">
                  <c:v>16.0</c:v>
                </c:pt>
                <c:pt idx="1">
                  <c:v>17.0</c:v>
                </c:pt>
                <c:pt idx="2">
                  <c:v>14.0</c:v>
                </c:pt>
                <c:pt idx="3">
                  <c:v>12.0</c:v>
                </c:pt>
                <c:pt idx="4">
                  <c:v>15.0</c:v>
                </c:pt>
                <c:pt idx="5">
                  <c:v>12.0</c:v>
                </c:pt>
                <c:pt idx="6">
                  <c:v>15.0</c:v>
                </c:pt>
              </c:numCache>
            </c:numRef>
          </c:val>
        </c:ser>
        <c:ser>
          <c:idx val="3"/>
          <c:order val="3"/>
          <c:tx>
            <c:strRef>
              <c:f>Tabelle1!$K$1</c:f>
              <c:strCache>
                <c:ptCount val="1"/>
                <c:pt idx="0">
                  <c:v>Losses ID_Improved</c:v>
                </c:pt>
              </c:strCache>
            </c:strRef>
          </c:tx>
          <c:spPr>
            <a:solidFill>
              <a:schemeClr val="accent4"/>
            </a:solidFill>
            <a:ln>
              <a:noFill/>
            </a:ln>
            <a:effectLst/>
          </c:spPr>
          <c:invertIfNegative val="0"/>
          <c:cat>
            <c:strRef>
              <c:f>Tabelle1!$G$2:$G$8</c:f>
              <c:strCache>
                <c:ptCount val="7"/>
                <c:pt idx="0">
                  <c:v>vs Random</c:v>
                </c:pt>
                <c:pt idx="1">
                  <c:v>vs MM_Null</c:v>
                </c:pt>
                <c:pt idx="2">
                  <c:v>vs MM_Open</c:v>
                </c:pt>
                <c:pt idx="3">
                  <c:v>vs MM_Improved</c:v>
                </c:pt>
                <c:pt idx="4">
                  <c:v>vs AB_Null</c:v>
                </c:pt>
                <c:pt idx="5">
                  <c:v>vs AB_Open</c:v>
                </c:pt>
                <c:pt idx="6">
                  <c:v>vs AB_Improved</c:v>
                </c:pt>
              </c:strCache>
            </c:strRef>
          </c:cat>
          <c:val>
            <c:numRef>
              <c:f>Tabelle1!$K$2:$K$8</c:f>
              <c:numCache>
                <c:formatCode>General</c:formatCode>
                <c:ptCount val="7"/>
                <c:pt idx="0">
                  <c:v>4.0</c:v>
                </c:pt>
                <c:pt idx="1">
                  <c:v>3.0</c:v>
                </c:pt>
                <c:pt idx="2">
                  <c:v>6.0</c:v>
                </c:pt>
                <c:pt idx="3">
                  <c:v>8.0</c:v>
                </c:pt>
                <c:pt idx="4">
                  <c:v>5.0</c:v>
                </c:pt>
                <c:pt idx="5">
                  <c:v>8.0</c:v>
                </c:pt>
                <c:pt idx="6">
                  <c:v>5.0</c:v>
                </c:pt>
              </c:numCache>
            </c:numRef>
          </c:val>
        </c:ser>
        <c:dLbls>
          <c:showLegendKey val="0"/>
          <c:showVal val="0"/>
          <c:showCatName val="0"/>
          <c:showSerName val="0"/>
          <c:showPercent val="0"/>
          <c:showBubbleSize val="0"/>
        </c:dLbls>
        <c:gapWidth val="219"/>
        <c:overlap val="-27"/>
        <c:axId val="-1163067472"/>
        <c:axId val="-1163160048"/>
      </c:barChart>
      <c:catAx>
        <c:axId val="-116306747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1163160048"/>
        <c:crossesAt val="0.0"/>
        <c:auto val="1"/>
        <c:lblAlgn val="ctr"/>
        <c:lblOffset val="100"/>
        <c:noMultiLvlLbl val="0"/>
      </c:catAx>
      <c:valAx>
        <c:axId val="-1163160048"/>
        <c:scaling>
          <c:orientation val="minMax"/>
          <c:max val="20.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116306747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de-CH"/>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de-DE"/>
              <a:t>3/2 Late-Game Variation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barChart>
        <c:barDir val="col"/>
        <c:grouping val="clustered"/>
        <c:varyColors val="0"/>
        <c:ser>
          <c:idx val="0"/>
          <c:order val="0"/>
          <c:tx>
            <c:strRef>
              <c:f>Tabelle1!$B$1</c:f>
              <c:strCache>
                <c:ptCount val="1"/>
                <c:pt idx="0">
                  <c:v>Wins Student</c:v>
                </c:pt>
              </c:strCache>
            </c:strRef>
          </c:tx>
          <c:spPr>
            <a:solidFill>
              <a:schemeClr val="accent1"/>
            </a:solidFill>
            <a:ln>
              <a:noFill/>
            </a:ln>
            <a:effectLst/>
          </c:spPr>
          <c:invertIfNegative val="0"/>
          <c:cat>
            <c:strRef>
              <c:f>Tabelle1!$A$2:$A$8</c:f>
              <c:strCache>
                <c:ptCount val="7"/>
                <c:pt idx="0">
                  <c:v>vs Random</c:v>
                </c:pt>
                <c:pt idx="1">
                  <c:v>vs MM_Null</c:v>
                </c:pt>
                <c:pt idx="2">
                  <c:v>vs MM_Open</c:v>
                </c:pt>
                <c:pt idx="3">
                  <c:v>vs MM_Improved</c:v>
                </c:pt>
                <c:pt idx="4">
                  <c:v>vs AB_Null</c:v>
                </c:pt>
                <c:pt idx="5">
                  <c:v>vs AB_Open</c:v>
                </c:pt>
                <c:pt idx="6">
                  <c:v>vs AB_Improved</c:v>
                </c:pt>
              </c:strCache>
            </c:strRef>
          </c:cat>
          <c:val>
            <c:numRef>
              <c:f>Tabelle1!$B$2:$B$8</c:f>
              <c:numCache>
                <c:formatCode>General</c:formatCode>
                <c:ptCount val="7"/>
                <c:pt idx="0">
                  <c:v>13.0</c:v>
                </c:pt>
                <c:pt idx="1">
                  <c:v>17.0</c:v>
                </c:pt>
                <c:pt idx="2">
                  <c:v>13.0</c:v>
                </c:pt>
                <c:pt idx="3">
                  <c:v>9.0</c:v>
                </c:pt>
                <c:pt idx="4">
                  <c:v>14.0</c:v>
                </c:pt>
                <c:pt idx="5">
                  <c:v>10.0</c:v>
                </c:pt>
                <c:pt idx="6">
                  <c:v>14.0</c:v>
                </c:pt>
              </c:numCache>
            </c:numRef>
          </c:val>
        </c:ser>
        <c:ser>
          <c:idx val="1"/>
          <c:order val="1"/>
          <c:tx>
            <c:strRef>
              <c:f>Tabelle1!$C$1</c:f>
              <c:strCache>
                <c:ptCount val="1"/>
                <c:pt idx="0">
                  <c:v>Losses Student</c:v>
                </c:pt>
              </c:strCache>
            </c:strRef>
          </c:tx>
          <c:spPr>
            <a:solidFill>
              <a:schemeClr val="accent2"/>
            </a:solidFill>
            <a:ln>
              <a:noFill/>
            </a:ln>
            <a:effectLst/>
          </c:spPr>
          <c:invertIfNegative val="0"/>
          <c:cat>
            <c:strRef>
              <c:f>Tabelle1!$A$2:$A$8</c:f>
              <c:strCache>
                <c:ptCount val="7"/>
                <c:pt idx="0">
                  <c:v>vs Random</c:v>
                </c:pt>
                <c:pt idx="1">
                  <c:v>vs MM_Null</c:v>
                </c:pt>
                <c:pt idx="2">
                  <c:v>vs MM_Open</c:v>
                </c:pt>
                <c:pt idx="3">
                  <c:v>vs MM_Improved</c:v>
                </c:pt>
                <c:pt idx="4">
                  <c:v>vs AB_Null</c:v>
                </c:pt>
                <c:pt idx="5">
                  <c:v>vs AB_Open</c:v>
                </c:pt>
                <c:pt idx="6">
                  <c:v>vs AB_Improved</c:v>
                </c:pt>
              </c:strCache>
            </c:strRef>
          </c:cat>
          <c:val>
            <c:numRef>
              <c:f>Tabelle1!$C$2:$C$8</c:f>
              <c:numCache>
                <c:formatCode>General</c:formatCode>
                <c:ptCount val="7"/>
                <c:pt idx="0">
                  <c:v>7.0</c:v>
                </c:pt>
                <c:pt idx="1">
                  <c:v>3.0</c:v>
                </c:pt>
                <c:pt idx="2">
                  <c:v>7.0</c:v>
                </c:pt>
                <c:pt idx="3">
                  <c:v>11.0</c:v>
                </c:pt>
                <c:pt idx="4">
                  <c:v>6.0</c:v>
                </c:pt>
                <c:pt idx="5">
                  <c:v>10.0</c:v>
                </c:pt>
                <c:pt idx="6">
                  <c:v>6.0</c:v>
                </c:pt>
              </c:numCache>
            </c:numRef>
          </c:val>
        </c:ser>
        <c:ser>
          <c:idx val="2"/>
          <c:order val="2"/>
          <c:tx>
            <c:strRef>
              <c:f>Tabelle1!$D$1</c:f>
              <c:strCache>
                <c:ptCount val="1"/>
                <c:pt idx="0">
                  <c:v>Wins ID_Improved</c:v>
                </c:pt>
              </c:strCache>
            </c:strRef>
          </c:tx>
          <c:spPr>
            <a:solidFill>
              <a:schemeClr val="accent3"/>
            </a:solidFill>
            <a:ln>
              <a:noFill/>
            </a:ln>
            <a:effectLst/>
          </c:spPr>
          <c:invertIfNegative val="0"/>
          <c:cat>
            <c:strRef>
              <c:f>Tabelle1!$A$2:$A$8</c:f>
              <c:strCache>
                <c:ptCount val="7"/>
                <c:pt idx="0">
                  <c:v>vs Random</c:v>
                </c:pt>
                <c:pt idx="1">
                  <c:v>vs MM_Null</c:v>
                </c:pt>
                <c:pt idx="2">
                  <c:v>vs MM_Open</c:v>
                </c:pt>
                <c:pt idx="3">
                  <c:v>vs MM_Improved</c:v>
                </c:pt>
                <c:pt idx="4">
                  <c:v>vs AB_Null</c:v>
                </c:pt>
                <c:pt idx="5">
                  <c:v>vs AB_Open</c:v>
                </c:pt>
                <c:pt idx="6">
                  <c:v>vs AB_Improved</c:v>
                </c:pt>
              </c:strCache>
            </c:strRef>
          </c:cat>
          <c:val>
            <c:numRef>
              <c:f>Tabelle1!$D$2:$D$8</c:f>
              <c:numCache>
                <c:formatCode>General</c:formatCode>
                <c:ptCount val="7"/>
                <c:pt idx="0">
                  <c:v>19.0</c:v>
                </c:pt>
                <c:pt idx="1">
                  <c:v>14.0</c:v>
                </c:pt>
                <c:pt idx="2">
                  <c:v>10.0</c:v>
                </c:pt>
                <c:pt idx="3">
                  <c:v>11.0</c:v>
                </c:pt>
                <c:pt idx="4">
                  <c:v>14.0</c:v>
                </c:pt>
                <c:pt idx="5">
                  <c:v>16.0</c:v>
                </c:pt>
                <c:pt idx="6">
                  <c:v>18.0</c:v>
                </c:pt>
              </c:numCache>
            </c:numRef>
          </c:val>
        </c:ser>
        <c:ser>
          <c:idx val="3"/>
          <c:order val="3"/>
          <c:tx>
            <c:strRef>
              <c:f>Tabelle1!$E$1</c:f>
              <c:strCache>
                <c:ptCount val="1"/>
                <c:pt idx="0">
                  <c:v>Losses ID_Improved</c:v>
                </c:pt>
              </c:strCache>
            </c:strRef>
          </c:tx>
          <c:spPr>
            <a:solidFill>
              <a:schemeClr val="accent4"/>
            </a:solidFill>
            <a:ln>
              <a:noFill/>
            </a:ln>
            <a:effectLst/>
          </c:spPr>
          <c:invertIfNegative val="0"/>
          <c:cat>
            <c:strRef>
              <c:f>Tabelle1!$A$2:$A$8</c:f>
              <c:strCache>
                <c:ptCount val="7"/>
                <c:pt idx="0">
                  <c:v>vs Random</c:v>
                </c:pt>
                <c:pt idx="1">
                  <c:v>vs MM_Null</c:v>
                </c:pt>
                <c:pt idx="2">
                  <c:v>vs MM_Open</c:v>
                </c:pt>
                <c:pt idx="3">
                  <c:v>vs MM_Improved</c:v>
                </c:pt>
                <c:pt idx="4">
                  <c:v>vs AB_Null</c:v>
                </c:pt>
                <c:pt idx="5">
                  <c:v>vs AB_Open</c:v>
                </c:pt>
                <c:pt idx="6">
                  <c:v>vs AB_Improved</c:v>
                </c:pt>
              </c:strCache>
            </c:strRef>
          </c:cat>
          <c:val>
            <c:numRef>
              <c:f>Tabelle1!$E$2:$E$8</c:f>
              <c:numCache>
                <c:formatCode>General</c:formatCode>
                <c:ptCount val="7"/>
                <c:pt idx="0">
                  <c:v>1.0</c:v>
                </c:pt>
                <c:pt idx="1">
                  <c:v>6.0</c:v>
                </c:pt>
                <c:pt idx="2">
                  <c:v>10.0</c:v>
                </c:pt>
                <c:pt idx="3">
                  <c:v>9.0</c:v>
                </c:pt>
                <c:pt idx="4">
                  <c:v>6.0</c:v>
                </c:pt>
                <c:pt idx="5">
                  <c:v>4.0</c:v>
                </c:pt>
                <c:pt idx="6">
                  <c:v>2.0</c:v>
                </c:pt>
              </c:numCache>
            </c:numRef>
          </c:val>
        </c:ser>
        <c:dLbls>
          <c:showLegendKey val="0"/>
          <c:showVal val="0"/>
          <c:showCatName val="0"/>
          <c:showSerName val="0"/>
          <c:showPercent val="0"/>
          <c:showBubbleSize val="0"/>
        </c:dLbls>
        <c:gapWidth val="219"/>
        <c:overlap val="-27"/>
        <c:axId val="-1045472080"/>
        <c:axId val="-1045468992"/>
      </c:barChart>
      <c:catAx>
        <c:axId val="-104547208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1045468992"/>
        <c:crosses val="autoZero"/>
        <c:auto val="1"/>
        <c:lblAlgn val="ctr"/>
        <c:lblOffset val="100"/>
        <c:noMultiLvlLbl val="0"/>
      </c:catAx>
      <c:valAx>
        <c:axId val="-104546899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104547208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352</Words>
  <Characters>2223</Characters>
  <Application>Microsoft Macintosh Word</Application>
  <DocSecurity>0</DocSecurity>
  <Lines>18</Lines>
  <Paragraphs>5</Paragraphs>
  <ScaleCrop>false</ScaleCrop>
  <HeadingPairs>
    <vt:vector size="4" baseType="variant">
      <vt:variant>
        <vt:lpstr>Titel</vt:lpstr>
      </vt:variant>
      <vt:variant>
        <vt:i4>1</vt:i4>
      </vt:variant>
      <vt:variant>
        <vt:lpstr>Headings</vt:lpstr>
      </vt:variant>
      <vt:variant>
        <vt:i4>5</vt:i4>
      </vt:variant>
    </vt:vector>
  </HeadingPairs>
  <TitlesOfParts>
    <vt:vector size="6" baseType="lpstr">
      <vt:lpstr/>
      <vt:lpstr>Analysis of Evaluation Function</vt:lpstr>
      <vt:lpstr>    Restrict Opponent</vt:lpstr>
      <vt:lpstr>    3/2 Ratio</vt:lpstr>
      <vt:lpstr>    3/2 Late-Game Variation</vt:lpstr>
      <vt:lpstr>    Final Choice</vt:lpstr>
    </vt:vector>
  </TitlesOfParts>
  <LinksUpToDate>false</LinksUpToDate>
  <CharactersWithSpaces>2570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Ein Microsoft Office-Anwender</dc:creator>
  <cp:keywords/>
  <dc:description/>
  <cp:lastModifiedBy>Ein Microsoft Office-Anwender</cp:lastModifiedBy>
  <cp:revision>4</cp:revision>
  <cp:lastPrinted>2017-03-06T17:13:00Z</cp:lastPrinted>
  <dcterms:created xsi:type="dcterms:W3CDTF">2017-03-06T18:15:00Z</dcterms:created>
  <dcterms:modified xsi:type="dcterms:W3CDTF">2017-03-07T09:03:00Z</dcterms:modified>
</cp:coreProperties>
</file>