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信源与信息熵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93920" cy="21412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787140" cy="43434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79620" cy="298704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898015"/>
            <wp:effectExtent l="0" t="0" r="254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P（y丨x）矩阵中x相等的项相加为1（横排相加为1）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信道与信道容量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25240" cy="1356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0770" cy="7233920"/>
            <wp:effectExtent l="0" t="0" r="1270" b="508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23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514350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信源编码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53000" cy="99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507615"/>
            <wp:effectExtent l="0" t="0" r="63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信道编码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74825"/>
            <wp:effectExtent l="0" t="0" r="139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6680" cy="37871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0746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83B02C"/>
    <w:multiLevelType w:val="singleLevel"/>
    <w:tmpl w:val="4183B02C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M4MmVmMGQ1YzI2YThiOGZhMzFkYTE3OTE0OTQzYTkifQ=="/>
  </w:docVars>
  <w:rsids>
    <w:rsidRoot w:val="00000000"/>
    <w:rsid w:val="114F22E5"/>
    <w:rsid w:val="219E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2023-10-29T13:36:00Z</dcterms:created>
  <dc:creator>cjj</dc:creator>
  <cp:lastModifiedBy>An.灬</cp:lastModifiedBy>
  <dcterms:modified xsi:type="dcterms:W3CDTF">2023-10-30T13:18:43Z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1418AD2279054E4EB3F619824AA9ED2D_12</vt:lpwstr>
  </property>
</Properties>
</file>