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300" w:lineRule="auto"/>
      </w:pPr>
      <w:r>
        <w:rPr>
          <w:rFonts w:ascii="Arial" w:hAnsi="Arial" w:eastAsia="Microsoft YaHei"/>
          <w:b/>
          <w:color w:val="2F6BFF"/>
          <w:sz w:val="21"/>
        </w:rPr>
        <w:t>产品 / 研发实现规格</w:t>
      </w:r>
    </w:p>
    <w:p>
      <w:pPr>
        <w:keepNext w:val="0"/>
        <w:spacing w:before="0" w:after="60" w:line="300" w:lineRule="auto"/>
      </w:pPr>
      <w:r>
        <w:rPr>
          <w:rFonts w:ascii="Arial" w:hAnsi="Arial" w:eastAsia="Microsoft YaHei"/>
          <w:b/>
          <w:color w:val="44546A"/>
          <w:sz w:val="28"/>
        </w:rPr>
        <w:t>POS 数据管理平台</w:t>
      </w:r>
    </w:p>
    <w:p>
      <w:pPr>
        <w:keepNext w:val="0"/>
        <w:spacing w:before="0" w:after="160" w:line="252" w:lineRule="auto"/>
      </w:pPr>
      <w:r>
        <w:rPr>
          <w:rFonts w:ascii="Arial" w:hAnsi="Arial" w:eastAsia="Microsoft YaHei"/>
          <w:b/>
          <w:color w:val="172B4D"/>
          <w:sz w:val="48"/>
        </w:rPr>
        <w:t>单据详情统一逻辑及各模块显示规则</w:t>
      </w:r>
    </w:p>
    <w:p>
      <w:pPr>
        <w:keepNext w:val="0"/>
        <w:spacing w:before="0" w:after="320" w:line="300" w:lineRule="auto"/>
      </w:pPr>
      <w:r>
        <w:rPr>
          <w:rFonts w:ascii="Arial" w:hAnsi="Arial" w:eastAsia="Microsoft YaHei"/>
          <w:b w:val="0"/>
          <w:color w:val="44546A"/>
          <w:sz w:val="24"/>
        </w:rPr>
        <w:t>覆盖文件收取、质量检查、台账与汇总模块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文档信息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文档用途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产品评审、UI/交互确认、前后端开发、联调与验收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版本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V1.0（基于 2026-07-21 当前原型与代码逻辑整理）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适用范围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文件箱、单门店已匹配数据、单门店未匹配数据、标准POS表、异常数据、标准POS明细，以及归档（非POS表）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实现基线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9"/>
              </w:rPr>
              <w:t>统一右侧抽屉；统一原始文件、拆分结果、模块信息、日志流转；按模块注入差异字段与日志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DF4FF"/>
          <w:left w:val="single" w:sz="1" w:color="EDF4FF"/>
          <w:bottom w:val="single" w:sz="1" w:color="EDF4FF"/>
          <w:right w:val="single" w:sz="1" w:color="EDF4FF"/>
          <w:insideH w:val="single" w:sz="1" w:color="EDF4FF"/>
          <w:insideV w:val="single" w:sz="1" w:color="ED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4FF"/>
          </w:tcPr>
          <w:p>
            <w:pPr>
              <w:spacing w:after="0" w:line="288" w:lineRule="auto"/>
            </w:pPr>
            <w:r>
              <w:rPr>
                <w:rFonts w:ascii="Arial" w:hAnsi="Arial" w:eastAsia="Microsoft YaHei"/>
                <w:b/>
                <w:color w:val="2F6BFF"/>
                <w:sz w:val="20"/>
              </w:rPr>
              <w:t xml:space="preserve">结论  </w:t>
            </w:r>
            <w:r>
              <w:rPr>
                <w:rFonts w:ascii="Arial" w:hAnsi="Arial" w:eastAsia="Microsoft YaHei"/>
                <w:b w:val="0"/>
                <w:color w:val="172B4D"/>
                <w:sz w:val="20"/>
              </w:rPr>
              <w:t>所有模块应复用同一详情容器和数据契约；差异只体现在权限节点、状态、业务字段、日志生成规则及可预览对象。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1. 文档范围与对象模型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B4D"/>
          <w:sz w:val="21"/>
        </w:rPr>
        <w:t>“单据详情”用于追溯一条业务数据从原始文件进入系统，到拆分、匹配、质检、复核和入账的全过程。详情不是编辑页面，不承载状态变更操作；它提供来源证据、当前业务信息和流转日志。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500"/>
        <w:gridCol w:w="4180"/>
        <w:gridCol w:w="368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对象层级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定义</w:t>
            </w:r>
          </w:p>
        </w:tc>
        <w:tc>
          <w:tcPr>
            <w:tcW w:type="dxa" w:w="3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典型入口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父单据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一次邮件/上传任务，可能包含多个附件</w:t>
            </w:r>
          </w:p>
        </w:tc>
        <w:tc>
          <w:tcPr>
            <w:tcW w:type="dxa" w:w="3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文件箱父行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附件单据</w:t>
            </w:r>
          </w:p>
        </w:tc>
        <w:tc>
          <w:tcPr>
            <w:tcW w:type="dxa" w:w="41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父单据下的一个 Excel/CSV/ZIP 文件，可存在版本</w:t>
            </w:r>
          </w:p>
        </w:tc>
        <w:tc>
          <w:tcPr>
            <w:tcW w:type="dxa" w:w="36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文件箱附件行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门店单据</w:t>
            </w:r>
          </w:p>
        </w:tc>
        <w:tc>
          <w:tcPr>
            <w:tcW w:type="dxa" w:w="4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附件拆分后的一家门店数据</w:t>
            </w:r>
          </w:p>
        </w:tc>
        <w:tc>
          <w:tcPr>
            <w:tcW w:type="dxa" w:w="3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已匹配、未匹配、标准POS表门店视图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产品明细</w:t>
            </w:r>
          </w:p>
        </w:tc>
        <w:tc>
          <w:tcPr>
            <w:tcW w:type="dxa" w:w="41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门店单据中的一条产品销售记录</w:t>
            </w:r>
          </w:p>
        </w:tc>
        <w:tc>
          <w:tcPr>
            <w:tcW w:type="dxa" w:w="36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标准POS表产品视图、异常产品视图、标准POS明细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2. 统一显示规则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color w:val="2F6BFF"/>
          <w:sz w:val="26"/>
        </w:rPr>
        <w:t>2.1 入口与权限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操作列使用“单据详情”图标按钮；无“单据详情”权限时按钮不显示。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点击后必须再次校验“查看”与“单据详情”两个权限；任一缺失则不打开抽屉，并提示“当前账号无单据详情权限”。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数据范围沿用列表查询范围。详情接口不得绕过组织范围、角色范围或记录级授权。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归档（非POS表）属于已匹配数据的特殊只读状态；如后续独立成权限节点，应补充“查看/单据详情”双权限。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color w:val="2F6BFF"/>
          <w:sz w:val="26"/>
        </w:rPr>
        <w:t>2.2 抽屉结构与展示顺序</w:t>
      </w:r>
    </w:p>
    <w:p>
      <w:pPr>
        <w:pStyle w:val="ListNumber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标题固定为“单据详情”，桌面端宽度建议 680px；内容纵向滚动，关闭后回到原列表位置。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原始文件：始终位于第一段，展示文件名、文件类型与预览入口。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拆分结果：仅多门店文件且至少拆分出 2 条门店记录时展示；支持版本切换。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当前模块信息：展示模块注入的业务字段，字段顺序严格按本规格执行。</w:t>
      </w:r>
    </w:p>
    <w:p>
      <w:pPr>
        <w:pStyle w:val="ListNumber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当前模块日志：按时间正序展示节点、状态、动作、时间、操作人。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7E6"/>
          <w:left w:val="single" w:sz="1" w:color="FFF7E6"/>
          <w:bottom w:val="single" w:sz="1" w:color="FFF7E6"/>
          <w:right w:val="single" w:sz="1" w:color="FFF7E6"/>
          <w:insideH w:val="single" w:sz="1" w:color="FFF7E6"/>
          <w:insideV w:val="single" w:sz="1" w:color="FFF7E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6"/>
          </w:tcPr>
          <w:p>
            <w:pPr>
              <w:spacing w:after="0" w:line="288" w:lineRule="auto"/>
            </w:pPr>
            <w:r>
              <w:rPr>
                <w:rFonts w:ascii="Arial" w:hAnsi="Arial" w:eastAsia="Microsoft YaHei"/>
                <w:b/>
                <w:color w:val="9A6700"/>
                <w:sz w:val="20"/>
              </w:rPr>
              <w:t xml:space="preserve">当前实现差异  </w:t>
            </w:r>
            <w:r>
              <w:rPr>
                <w:rFonts w:ascii="Arial" w:hAnsi="Arial" w:eastAsia="Microsoft YaHei"/>
                <w:b w:val="0"/>
                <w:color w:val="172B4D"/>
                <w:sz w:val="20"/>
              </w:rPr>
              <w:t>现有调用方已构造 moduleFields，但通用 openDocumentDetail 容器尚未渲染“当前模块信息”区。研发实现时必须补齐，否则各模块字段规则不会在页面生效。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color w:val="2F6BFF"/>
          <w:sz w:val="26"/>
        </w:rPr>
        <w:t>2.3 原始文件与预览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2150"/>
        <w:gridCol w:w="7210"/>
      </w:tblGrid>
      <w:tr>
        <w:trPr>
          <w:tblHeader w:val="true"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场景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取值与行为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显式文件名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优先 context.sourceFileName，其次 row.sourceFileName / originalFileName / fileName / currentFileName</w:t>
            </w:r>
          </w:p>
        </w:tc>
      </w:tr>
      <w:tr>
        <w:tc>
          <w:tcPr>
            <w:tcW w:type="dxa" w:w="2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关联文件箱</w:t>
            </w:r>
          </w:p>
        </w:tc>
        <w:tc>
          <w:tcPr>
            <w:tcW w:type="dxa" w:w="7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通过 sourceEmailId + sourceAttIdx 精确查找；缺失时使用文件名/门店名与主题、正文、附件名做模糊关联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仍无法关联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按合作方、门店、编码、期间生成可读的 .xlsx 兜底名称；字段缺失显示“-”</w:t>
            </w:r>
          </w:p>
        </w:tc>
      </w:tr>
      <w:tr>
        <w:tc>
          <w:tcPr>
            <w:tcW w:type="dxa" w:w="2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正常附件</w:t>
            </w:r>
          </w:p>
        </w:tc>
        <w:tc>
          <w:tcPr>
            <w:tcW w:type="dxa" w:w="7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点击打开文件预览；ZIP 显示包内文件并支持逐项预览</w:t>
            </w:r>
          </w:p>
        </w:tc>
      </w:tr>
      <w:t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驳回附件</w:t>
            </w:r>
          </w:p>
        </w:tc>
        <w:tc>
          <w:tcPr>
            <w:tcW w:type="dxa" w:w="7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禁止预览，提示“文件异常、无法预览”</w:t>
            </w:r>
          </w:p>
        </w:tc>
      </w:tr>
      <w:tr>
        <w:tc>
          <w:tcPr>
            <w:tcW w:type="dxa" w:w="2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兜底文件</w:t>
            </w:r>
          </w:p>
        </w:tc>
        <w:tc>
          <w:tcPr>
            <w:tcW w:type="dxa" w:w="7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点击打开当前门店/产品数据预览，不假装存在真实附件下载地址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color w:val="2F6BFF"/>
          <w:sz w:val="26"/>
        </w:rPr>
        <w:t>2.4 拆分结果与版本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仅对多门店 Excel 展示；按原始附件分组，版本按 V1、V2…升序排列，默认选中“当前版本”。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版本标签展示“首次上传/驳回重传”与“历史版本/当前版本”；展示上传时间、拆分数量及各状态数量。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每条拆分记录展示单门店 Excel 文件名、门店名、状态、原因；可点击预览来源、已匹配门店或未匹配暂存数据。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状态色：成功类绿色；未匹配/重复/待处理黄色；驳回/失败红色；处理中信息类蓝色。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校验中或驳回且尚无拆分数据时不生成虚假拆分行。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color w:val="2F6BFF"/>
          <w:sz w:val="26"/>
        </w:rPr>
        <w:t>2.5 业务字段通用规则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规则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要求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字段顺序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按模块定义的固定顺序渲染，不随列表自定义列变化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空值</w:t>
            </w:r>
          </w:p>
        </w:tc>
        <w:tc>
          <w:tcPr>
            <w:tcW w:type="dxa" w:w="7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null、undefined、空字符串统一显示“-”；数值 0 必须显示为 0，不得误判为空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金额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详情内统一使用人民币符号与千分位，保留业务要求的小数位；不得出现“￥-”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编码</w:t>
            </w:r>
          </w:p>
        </w:tc>
        <w:tc>
          <w:tcPr>
            <w:tcW w:type="dxa" w:w="7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保留前导零；按字符串处理；长编码允许复制并完整展示 tooltip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字段分组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建议按“基本信息 / 组织与门店 / 产品与金额 / 处理信息”分组；窄屏单列，桌面双列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安全</w:t>
            </w:r>
          </w:p>
        </w:tc>
        <w:tc>
          <w:tcPr>
            <w:tcW w:type="dxa" w:w="7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所有服务端或用户输入必须转义；日志、文件名、备注不得直接拼接未转义 HTML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color w:val="2F6BFF"/>
          <w:sz w:val="26"/>
        </w:rPr>
        <w:t>2.6 日志统一规则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日志字段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显示规则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节点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业务环节名称，例如文件收取、文件校验、门店匹配、质检、提交复核、台账入库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状态</w:t>
            </w:r>
          </w:p>
        </w:tc>
        <w:tc>
          <w:tcPr>
            <w:tcW w:type="dxa" w:w="7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使用模块展示状态；状态色由异常/待办/处理中/成功四类映射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动作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说明发生了什么、为何发生；优先显示真实原因或处理说明，缺失时使用模块兜底文案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时间</w:t>
            </w:r>
          </w:p>
        </w:tc>
        <w:tc>
          <w:tcPr>
            <w:tcW w:type="dxa" w:w="7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优先使用节点真实时间；无真实时间显示“-”，禁止用当前时间伪造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操作人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人工操作显示姓名/角色；系统动作显示“系统”；未知显示“-”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排序</w:t>
            </w:r>
          </w:p>
        </w:tc>
        <w:tc>
          <w:tcPr>
            <w:tcW w:type="dxa" w:w="76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按业务发生顺序正序；历史版本日志保留，不被新版本覆盖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3. 权限与模块入口矩阵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500"/>
        <w:gridCol w:w="2450"/>
        <w:gridCol w:w="3000"/>
        <w:gridCol w:w="241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一级模块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二级模块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权限校验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详情粒度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文件收取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文件箱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文件箱:查看 + 单据详情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父单据 / 附件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文件收取</w:t>
            </w:r>
          </w:p>
        </w:tc>
        <w:tc>
          <w:tcPr>
            <w:tcW w:type="dxa" w:w="2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单门店已匹配数据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已匹配数据:查看 + 单据详情</w:t>
            </w:r>
          </w:p>
        </w:tc>
        <w:tc>
          <w:tcPr>
            <w:tcW w:type="dxa" w:w="24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门店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文件收取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单门店未匹配数据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未匹配数据:查看 + 单据详情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门店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质量检查</w:t>
            </w:r>
          </w:p>
        </w:tc>
        <w:tc>
          <w:tcPr>
            <w:tcW w:type="dxa" w:w="2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标准POS表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标准POS表:查看 + 单据详情</w:t>
            </w:r>
          </w:p>
        </w:tc>
        <w:tc>
          <w:tcPr>
            <w:tcW w:type="dxa" w:w="24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门店 / 产品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质量检查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异常数据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异常数据:查看 + 单据详情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门店 / 产品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台账与汇总</w:t>
            </w:r>
          </w:p>
        </w:tc>
        <w:tc>
          <w:tcPr>
            <w:tcW w:type="dxa" w:w="24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标准POS明细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标准POS明细:查看 + 单据详情</w:t>
            </w:r>
          </w:p>
        </w:tc>
        <w:tc>
          <w:tcPr>
            <w:tcW w:type="dxa" w:w="24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产品明细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文件收取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归档（非POS表）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当前复用归档列表可见性；建议独立双权限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门店 / 文件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4. 文件收取—文件箱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规则项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模块规则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入口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父单据行或附件行的“单据详情”按钮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粒度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父单据：一次邮件/上传；附件：指定 attachmentIndex 的文件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状态来源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父单据 statusText；附件优先 attachment.status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原始文件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父单据展示全部附件；附件详情只聚焦当前附件及其同源版本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拆分结果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父单据可展示所有多门店附件；附件详情只展示当前同源附件版本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显示字段</w:t>
      </w:r>
    </w:p>
    <w:p>
      <w:pPr>
        <w:keepNext w:val="0"/>
        <w:spacing w:before="0" w:after="8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固定显示字段：单据标题、上传用户、年月、附件数、上传时间。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条件显示字段：附件粒度追加：附件名称、文件版本、异常说明；附件上传时间优先 uploadedAt，缺失取父单据 provideTime。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日志与流转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父单据：文件收取（已接收）→ 文件校验（当前状态）。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普通附件：文件收取 → 文件校验；校验正常时追加门店匹配/拆分结果。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历史版本：文件收取 → 文件处理（原状态/驳回原因）→ 版本切换（历史版本）。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驳回重传：记录旧版本、重传接收、版本切换、重新校验；多门店时补充拆分与重复处理。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重复待处理：保留首次驳回、重新上传、重复识别和覆盖/忽略待办日志。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交互规则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附件正常时点击文件名预览；驳回附件禁止预览。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ZIP 可展开包内 Excel/CSV 并逐项预览。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版本切换只更新拆分面板，不关闭抽屉、不改变列表筛选。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模块验收重点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父单据与附件详情不会混淆附件范围。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历史版本与当前版本均可追溯，且默认定位当前版本。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异常原因、拆分数量和拆分状态与列表/数据源一致。</w:t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5. 文件收取—单门店已匹配数据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规则项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模块规则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入口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操作列“单据详情”；归档模式复用同一入口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粒度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门店单据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状态来源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正常模式使用角色可见状态；归档模式固定“已归档”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来源关联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优先 sourceEmailId/sourceAttIdx，否则按文件名或门店名关联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显示字段</w:t>
      </w:r>
    </w:p>
    <w:p>
      <w:pPr>
        <w:keepNext w:val="0"/>
        <w:spacing w:before="0" w:after="8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固定显示字段：时间、合作方ERP、原始文件名、当前文件名、客户门店号、客户交易处编码、客户交易处名称、营业Team、区域、营业所、ACC、好丽友交易处编码、好丽友交易处名称、当前责任人、最近操作人、判断说明。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条件显示字段：归档模式：当前责任人取归档处理人，最近操作人显示“-”。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日志与流转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已匹配数据：门店匹配完成（待质检）→ 质检中/已质检 → 质检结果已同步至标准POS表或异常表。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尚未质检时日志必须明确“等待质量检查”；已同步时显示实际 qualityRoute/logRoute。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归档：文件收取（如有关联）→ 文件校验（已归档），不追加门店匹配和质检节点。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交互规则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详情只读；文件预览从原始来源打开。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列表处于归档模式时不得错误要求已匹配数据权限；建议统一改为归档专属权限。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模块验收重点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原始/当前文件名均可追溯，组织字段与门店映射结果一致。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质检路由显示准确，不把异常表数据描述成标准POS表。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归档详情不展示无意义的质检成功日志。</w:t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6. 文件收取—单门店未匹配数据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规则项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模块规则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入口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暂存/未匹配列表操作列“单据详情”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粒度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门店单据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状态来源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getStashDisplayStatus：待处理 / 处理中 / 待复核等角色展示状态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责任人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由暂存工作流和当前角色计算 currentOwnerName / lastOperatorName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显示字段</w:t>
      </w:r>
    </w:p>
    <w:p>
      <w:pPr>
        <w:keepNext w:val="0"/>
        <w:spacing w:before="0" w:after="8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固定显示字段：时间、合作方ERP、原始文件名、当前文件名、客户门店号、客户交易处编码、客户交易处名称、营业Team、区域、营业所、ACC、好丽友交易处编码、好丽友交易处名称、异常说明、当前责任人、最近操作人。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条件显示字段：工作流存在驳回时，日志展示 rejectNote；营业提交复核时展示 salesSubmitNote。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日志与流转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未匹配数据生成：初始待处理，动作说明门店编码缺失或未匹配主数据。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被 POS 驳回：追加“POS驳回/处理中”，展示真实驳回原因、时间和操作人。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营业提交：追加“提交复核/待复核”，展示处理说明、时间和提交人。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交互规则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详情不直接提供编辑、校验、驳回按钮；这些动作仍在列表操作区完成。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原始文件/拆分行可预览对应来源；不可关联时使用兜底预览。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模块验收重点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缺少客户门店编码、本部或营业所时，异常说明清晰且字段显示“-”。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责任人与列表状态一致；待复核时责任回到 POS 担当。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驳回原因和营业处理说明在日志中均可追溯。</w:t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7. 质量检查—标准POS表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规则项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模块规则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入口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门店视图或产品视图操作列“单据详情”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粒度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门店视图：门店；产品视图：当前产品明细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状态来源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内部状态映射为待通过 / 处理中 / 待复核 / 已通过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原始文件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使用标准POS来源文件名；缺失时按门店信息生成兜底文件名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显示字段</w:t>
      </w:r>
    </w:p>
    <w:p>
      <w:pPr>
        <w:keepNext w:val="0"/>
        <w:spacing w:before="0" w:after="8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固定显示字段：门店编码、当前责任人、最近操作人、驳回原因、营业处理说明、置信度、AI判断、ACC、本部、营业所、经销商。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条件显示字段：仅产品视图追加：客户产品号、客户产品名称、客户条形码、好丽友产品编码、好丽友条形码、好丽友产品名称。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日志与流转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生成标准POS：待通过，默认责任人为 POS 担当。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驳回营业：处理中，记录 rejectNote / rejectedAt / rejectedBy。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营业提交复核：待复核，记录 salesSubmitNote / salesSubmittedAt / salesSubmittedBy。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POS通过：已通过，记录 approvedAt / approvedBy；日志说明当前单据已通过。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交互规则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门店视图打开详情时不展示任意产品字段。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产品视图必须从当前行 productIndex 取值，禁止默认取第一条产品。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原始文件点击进入与当前门店/产品相关的数据预览。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模块验收重点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不同视图字段粒度正确，产品详情不会串行。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责任人、驳回原因和处理说明与工作流状态一致。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已通过状态只读且日志完整。</w:t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8. 质量检查—异常数据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规则项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模块规则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入口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门店视图或产品视图操作列“单据详情”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粒度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门店视图：异常门店批次代表记录；产品视图：单条异常产品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状态来源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待处理 / 处理中 / 待复核；单项解决状态可为已解决；整单通过后离开异常列表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来源文件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按同门店标准POS来源定位，无法定位时使用当前异常行兜底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显示字段</w:t>
      </w:r>
    </w:p>
    <w:p>
      <w:pPr>
        <w:keepNext w:val="0"/>
        <w:spacing w:before="0" w:after="8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固定显示字段：门店编码、当前责任人、最近操作人、驳回原因、营业处理说明、异常类型、AI判断、ACC、本部、营业所、经销商。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条件显示字段：仅产品视图追加：客户产品号、客户产品名称、客户条形码、好丽友产品编码、好丽友条形码、好丽友产品名称、销售数量、销售金额、销售成本、零售单价。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日志与流转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异常生成：异常处理/待处理，当前责任人为 POS 担当。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POS驳回：异常驳回/处理中，展示驳回原因、时间、操作人。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营业提交：提交复核/待复核，展示处理说明、时间、提交人。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复核通过：异常复核/已通过，说明单据流入标准POS表。单项已解决但整单未通过时不得生成整单已通过日志。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交互规则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门店视图详情应基于代表记录汇总批次状态；产品视图展示当前异常项。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金额和数量保留 0；异常说明与 AI 判断不得互相覆盖。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详情中不提供“异常项通过/整单通过”动作，动作留在列表。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模块验收重点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门店与产品粒度切换后字段不串行。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已解决、待整单通过属于内部/行级业务状态，不作为当前状态筛选枚举展示。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整单通过后异常记录从异常列表退出，并可在标准POS/台账链路追溯。</w:t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9. 台账与汇总—标准POS明细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规则项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模块规则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入口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标准POS明细操作列“单据详情”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粒度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产品销售明细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记录定位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month + storeCode + productCode/barcode + productName 组成行键</w:t>
            </w:r>
          </w:p>
        </w:tc>
      </w:tr>
      <w:tr>
        <w:tc>
          <w:tcPr>
            <w:tcW w:type="dxa" w:w="1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固定“已入账”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日志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台账入库/已入账，说明标准POS通过后同步进入台账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显示字段</w:t>
      </w:r>
    </w:p>
    <w:p>
      <w:pPr>
        <w:keepNext w:val="0"/>
        <w:spacing w:before="0" w:after="8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固定显示字段：时间、合作方ERP、经销商、客户门店号、原始交易出码、客户门店名称、TEAM、区域、营业所、ACC、好丽友交易处编码、好丽友交易处名称、客户产品号、客户产品名称、客户条形码、好丽友产品编码、好丽友条形码、好丽友产品名称、销售数量、销售金额、成本、零售单价。</w:t>
      </w:r>
    </w:p>
    <w:p>
      <w:pPr>
        <w:keepNext w:val="0"/>
        <w:spacing w:before="0" w:after="120" w:line="300" w:lineRule="auto"/>
      </w:pPr>
      <w:r>
        <w:rPr>
          <w:rFonts w:ascii="Arial" w:hAnsi="Arial" w:eastAsia="Microsoft YaHei"/>
          <w:b w:val="0"/>
          <w:color w:val="172B4D"/>
          <w:sz w:val="20"/>
        </w:rPr>
        <w:t>条件显示字段：可追加：入账时间、来源质检单号、最后操作人（当后端提供真实字段时）。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日志与流转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仅展示台账入库节点；不得虚构前序节点时间。若后端返回完整生命周期，可按统一日志顺序补充。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操作人优先 row.lastOperatorName，缺失显示“系统”。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交互规则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只读查看；不在详情抽屉中编辑台账数值。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原始文件可关联时支持预览；不可关联时使用兜底文件/数据预览。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金额统一格式化，不拼接出“￥-”。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color w:val="172B4D"/>
          <w:sz w:val="23"/>
        </w:rPr>
        <w:t>模块验收重点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行键唯一定位当前产品记录，筛选或分组后仍打开正确行。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客户与好丽友产品字段成对展示，编码不丢前导零。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入账状态与日志一致。</w:t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10. 状态与色彩映射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状态类别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示例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色彩/语义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异常/失败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驳回、失败、异常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红色；需要纠正或流程中断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待办/风险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待处理、待通过、暂存、未匹配、重复</w:t>
            </w:r>
          </w:p>
        </w:tc>
        <w:tc>
          <w:tcPr>
            <w:tcW w:type="dxa" w:w="4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黄色；需要人工处理或确认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进行中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校验中、质检中、处理中、待复核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蓝色；流程仍在推进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成功/完成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正常、已匹配、已完成、已通过、已入账</w:t>
            </w:r>
          </w:p>
        </w:tc>
        <w:tc>
          <w:tcPr>
            <w:tcW w:type="dxa" w:w="4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绿色；节点已完成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历史/无效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历史版本、已归档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灰色或中性；保留追溯，不参与当前处理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11. 前后端数据契约建议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字段组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建议字段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详情上下文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moduleCode, moduleName, currentNode, detailLevel, recordId, statusCode, statusText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来源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sourceEmailId, sourceAttachmentId/sourceAttIdx, sourceFileName, fileVersion, originalFileName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业务字段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moduleFields: [{key, label, value, valueType, group, order, visible}]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拆分结果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splitGroups: [{file, versions:[{version,state,uploadedAt,status,rows}]}]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日志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logs: [{nodeCode,nodeName,statusCode,statusText,action,time,operatorId,operatorName,tone}]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能力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8"/>
              </w:rPr>
              <w:t>permissions: {canViewDetail, canPreviewSource, canPreviewSplit}; 不返回无权访问的文件地址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DF4FF"/>
          <w:left w:val="single" w:sz="1" w:color="EDF4FF"/>
          <w:bottom w:val="single" w:sz="1" w:color="EDF4FF"/>
          <w:right w:val="single" w:sz="1" w:color="EDF4FF"/>
          <w:insideH w:val="single" w:sz="1" w:color="EDF4FF"/>
          <w:insideV w:val="single" w:sz="1" w:color="EDF4F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4FF"/>
          </w:tcPr>
          <w:p>
            <w:pPr>
              <w:spacing w:after="0" w:line="288" w:lineRule="auto"/>
            </w:pPr>
            <w:r>
              <w:rPr>
                <w:rFonts w:ascii="Arial" w:hAnsi="Arial" w:eastAsia="Microsoft YaHei"/>
                <w:b/>
                <w:color w:val="2F6BFF"/>
                <w:sz w:val="20"/>
              </w:rPr>
              <w:t xml:space="preserve">建议  </w:t>
            </w:r>
            <w:r>
              <w:rPr>
                <w:rFonts w:ascii="Arial" w:hAnsi="Arial" w:eastAsia="Microsoft YaHei"/>
                <w:b w:val="0"/>
                <w:color w:val="172B4D"/>
                <w:sz w:val="20"/>
              </w:rPr>
              <w:t>生产实现应由后端返回标准化生命周期日志，前端只负责排序、转义和展示。当前原型按状态推导日志可保留作演示兜底，但不应成为审计数据来源。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12. 联调与验收清单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权限：无查看或无单据详情权限时，按钮不可见且直接访问被拒绝。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数据范围：跨营业所/团队记录不能通过修改 ID 打开。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定位：父单据、附件、门店、产品四种粒度均打开正确记录。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来源：文件名、版本、附件范围正确；驳回文件禁止预览。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拆分：多门店、历史版本、驳回重传、重复处理均可追溯。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字段：各模块字段顺序、空值、0 值、金额、编码格式符合本规格。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日志：节点顺序、状态、原因、时间、操作人真实且一致。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视图：门店视图不混入产品字段；产品视图不串行。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安全：文件名、备注、日志动作等特殊字符均被转义，无 XSS。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体验：抽屉滚动正常，关闭后保持列表筛选、分页和滚动位置。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国际化：中文/韩文标题与固定文案由 i18n 管理；业务数据不做错误翻译。</w:t>
      </w:r>
    </w:p>
    <w:p>
      <w:pPr>
        <w:pStyle w:val="ListBullet"/>
        <w:spacing w:after="80" w:line="288" w:lineRule="auto"/>
        <w:ind w:left="540" w:hanging="271"/>
      </w:pPr>
      <w:r>
        <w:rPr>
          <w:rFonts w:ascii="Arial" w:hAnsi="Arial" w:eastAsia="Microsoft YaHei"/>
          <w:b w:val="0"/>
          <w:color w:val="172B4D"/>
          <w:sz w:val="20"/>
        </w:rPr>
        <w:t>□ 审计：历史日志不可被覆盖；缺失时间显示“-”而非伪造时间。</w:t>
      </w:r>
    </w:p>
    <w:p>
      <w:pPr>
        <w:pStyle w:val="Heading1"/>
        <w:keepNext/>
        <w:pageBreakBefore w:val="0"/>
      </w:pPr>
      <w:r>
        <w:rPr>
          <w:rFonts w:ascii="Arial" w:hAnsi="Arial" w:eastAsia="Microsoft YaHei"/>
          <w:b/>
          <w:color w:val="2F6BFF"/>
          <w:sz w:val="32"/>
        </w:rPr>
        <w:t>附录 A：当前实现需补齐/统一项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5DF"/>
          <w:left w:val="single" w:sz="5" w:color="CDD5DF"/>
          <w:bottom w:val="single" w:sz="5" w:color="CDD5DF"/>
          <w:right w:val="single" w:sz="5" w:color="CDD5DF"/>
          <w:insideH w:val="single" w:sz="5" w:color="CDD5DF"/>
          <w:insideV w:val="single" w:sz="5" w:color="CDD5DF"/>
        </w:tblBorders>
      </w:tblPr>
      <w:tblGrid>
        <w:gridCol w:w="1000"/>
        <w:gridCol w:w="2650"/>
        <w:gridCol w:w="571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优先级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事项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172B4D"/>
                <w:sz w:val="18"/>
              </w:rPr>
              <w:t>实现要求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P0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模块字段未渲染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在通用详情容器中新增“当前模块信息”区，消费 moduleFields，并按分组/顺序展示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P0</w:t>
            </w:r>
          </w:p>
        </w:tc>
        <w:tc>
          <w:tcPr>
            <w:tcW w:type="dxa" w:w="2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服务端鉴权</w:t>
            </w:r>
          </w:p>
        </w:tc>
        <w:tc>
          <w:tcPr>
            <w:tcW w:type="dxa" w:w="5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详情与文件预览接口必须执行双权限和数据范围校验，不能只依赖前端按钮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P1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日志数据来源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由后端提供真实节点日志；前端状态推导仅作为原型/兼容兜底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P1</w:t>
            </w:r>
          </w:p>
        </w:tc>
        <w:tc>
          <w:tcPr>
            <w:tcW w:type="dxa" w:w="2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金额/空值格式</w:t>
            </w:r>
          </w:p>
        </w:tc>
        <w:tc>
          <w:tcPr>
            <w:tcW w:type="dxa" w:w="5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统一格式化器，正确处理 0、空值和币种，避免“￥-”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P1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归档权限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为归档（非POS表）定义清晰的查看与详情权限，避免隐式放行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P2</w:t>
            </w:r>
          </w:p>
        </w:tc>
        <w:tc>
          <w:tcPr>
            <w:tcW w:type="dxa" w:w="2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国际化</w:t>
            </w:r>
          </w:p>
        </w:tc>
        <w:tc>
          <w:tcPr>
            <w:tcW w:type="dxa" w:w="5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抽屉内固定中文文本全部进入 i18n；字段标签按模块语言包输出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P2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可访问性</w:t>
            </w:r>
          </w:p>
        </w:tc>
        <w:tc>
          <w:tcPr>
            <w:tcW w:type="dxa" w:w="5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B4D"/>
                <w:sz w:val="17"/>
              </w:rPr>
              <w:t>按钮提供 aria-label；抽屉支持焦点圈定、Esc 关闭与关闭后焦点归还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" w:hAnsi="Arial" w:eastAsia="Microsoft YaHei"/>
          <w:b w:val="0"/>
          <w:color w:val="172B4D"/>
          <w:sz w:val="21"/>
        </w:rPr>
      </w:r>
    </w:p>
    <w:sectPr w:rsidR="00FC693F" w:rsidRPr="0006063C" w:rsidSect="00034616">
      <w:footerReference w:type="default" r:id="rId9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758195"/>
        <w:sz w:val="17"/>
      </w:rPr>
      <w:t xml:space="preserve">POS 数据管理平台 · 单据详情规格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