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1620000" cy="62925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20000" cy="629256"/>
                    </a:xfrm>
                    <a:prstGeom prst="rect"/>
                  </pic:spPr>
                </pic:pic>
              </a:graphicData>
            </a:graphic>
          </wp:inline>
        </w:drawing>
      </w:r>
    </w:p>
    <w:p>
      <w:pPr>
        <w:spacing w:before="1840"/>
        <w:jc w:val="center"/>
      </w:pPr>
      <w:r>
        <w:rPr>
          <w:rFonts w:ascii="Arial Unicode MS" w:hAnsi="Arial Unicode MS" w:eastAsia="Arial Unicode MS"/>
          <w:b/>
          <w:color w:val="1D2129"/>
          <w:sz w:val="52"/>
        </w:rPr>
        <w:t>好丽友POS数据管理平台项目</w:t>
      </w:r>
    </w:p>
    <w:p>
      <w:pPr>
        <w:spacing w:before="240"/>
        <w:jc w:val="center"/>
      </w:pPr>
      <w:r>
        <w:rPr>
          <w:rFonts w:ascii="Arial Unicode MS" w:hAnsi="Arial Unicode MS" w:eastAsia="Arial Unicode MS"/>
          <w:b/>
          <w:color w:val="155EEF"/>
          <w:sz w:val="48"/>
        </w:rPr>
        <w:t>一阶段蓝图计划书</w:t>
      </w:r>
    </w:p>
    <w:p>
      <w:pPr>
        <w:spacing w:before="320"/>
        <w:jc w:val="center"/>
      </w:pPr>
      <w:r>
        <w:rPr>
          <w:rFonts w:ascii="Arial Unicode MS" w:hAnsi="Arial Unicode MS" w:eastAsia="Arial Unicode MS"/>
          <w:b w:val="0"/>
          <w:color w:val="4E5969"/>
          <w:sz w:val="22"/>
        </w:rPr>
        <w:t>Blueprint &amp; Implementation Plan · Phase 1</w:t>
      </w:r>
    </w:p>
    <w:p>
      <w:pPr>
        <w:spacing w:before="2600"/>
        <w:jc w:val="center"/>
      </w:pPr>
      <w:r>
        <w:rPr>
          <w:rFonts w:ascii="Arial Unicode MS" w:hAnsi="Arial Unicode MS" w:eastAsia="Arial Unicode MS"/>
          <w:b w:val="0"/>
          <w:color w:val="4E5969"/>
          <w:sz w:val="22"/>
        </w:rPr>
        <w:t>版本：V1.0（评审稿）</w:t>
      </w:r>
    </w:p>
    <w:p>
      <w:pPr>
        <w:jc w:val="center"/>
      </w:pPr>
      <w:r>
        <w:rPr>
          <w:rFonts w:ascii="Arial Unicode MS" w:hAnsi="Arial Unicode MS" w:eastAsia="Arial Unicode MS"/>
          <w:b/>
          <w:color w:val="1D2129"/>
          <w:sz w:val="30"/>
        </w:rPr>
        <w:t>2026年8月</w:t>
      </w:r>
    </w:p>
    <w:p>
      <w:pPr>
        <w:sectPr>
          <w:pgSz w:w="11906" w:h="16838"/>
          <w:pgMar w:top="1276" w:right="1134" w:bottom="1247" w:left="1134" w:header="510" w:footer="510" w:gutter="0"/>
          <w:cols w:space="720"/>
          <w:titlePg/>
          <w:docGrid w:linePitch="360"/>
        </w:sectPr>
      </w:pPr>
    </w:p>
    <w:p>
      <w:pPr>
        <w:pStyle w:val="Heading1"/>
        <w:jc w:val="center"/>
      </w:pPr>
      <w:r>
        <w:t>签 署 页</w:t>
      </w:r>
    </w:p>
    <w:p>
      <w:pPr>
        <w:spacing w:line="360" w:lineRule="auto"/>
        <w:ind w:firstLine="420"/>
      </w:pPr>
      <w:r>
        <w:rPr>
          <w:rFonts w:ascii="Arial Unicode MS" w:hAnsi="Arial Unicode MS" w:eastAsia="Arial Unicode MS"/>
          <w:b w:val="0"/>
          <w:color w:val="1D2129"/>
          <w:sz w:val="21"/>
        </w:rPr>
        <w:t>本页用于项目蓝图评审、范围确认及后续实施授权。签署代表相关方已理解本蓝图所描述的一阶段目标、范围、边界和验收原则。</w:t>
      </w:r>
    </w:p>
    <w:tbl>
      <w:tblPr>
        <w:tblStyle w:val="TableGrid"/>
        <w:tblW w:type="dxa" w:w="9468"/>
        <w:jc w:val="center"/>
        <w:tblLayout w:type="fixed"/>
        <w:tblLook w:firstColumn="1" w:firstRow="1" w:lastColumn="0" w:lastRow="0" w:noHBand="0" w:noVBand="1" w:val="04A0"/>
      </w:tblPr>
      <w:tblGrid>
        <w:gridCol w:w="1474"/>
        <w:gridCol w:w="3175"/>
        <w:gridCol w:w="1474"/>
        <w:gridCol w:w="3345"/>
      </w:tblGrid>
      <w:tr>
        <w:trPr>
          <w:tblHeader w:val="true"/>
          <w:cantSplit w:val="true"/>
        </w:trPr>
        <w:tc>
          <w:tcPr>
            <w:tcW w:type="dxa" w:w="147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20"/>
              </w:rPr>
              <w:t>角色</w:t>
            </w:r>
          </w:p>
        </w:tc>
        <w:tc>
          <w:tcPr>
            <w:tcW w:type="dxa" w:w="317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20"/>
              </w:rPr>
              <w:t>签字</w:t>
            </w:r>
          </w:p>
        </w:tc>
        <w:tc>
          <w:tcPr>
            <w:tcW w:type="dxa" w:w="147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20"/>
              </w:rPr>
              <w:t>角色</w:t>
            </w:r>
          </w:p>
        </w:tc>
        <w:tc>
          <w:tcPr>
            <w:tcW w:type="dxa" w:w="334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20"/>
              </w:rPr>
              <w:t>签字</w:t>
            </w:r>
          </w:p>
        </w:tc>
      </w:tr>
      <w:tr>
        <w:trPr>
          <w:cantSplit w:val="true"/>
          <w:trHeight w:val="822"/>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20"/>
              </w:rPr>
              <w:t>编制</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t>日期</w:t>
            </w:r>
          </w:p>
        </w:tc>
        <w:tc>
          <w:tcPr>
            <w:tcW w:type="dxa" w:w="334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r>
      <w:tr>
        <w:trPr>
          <w:cantSplit w:val="true"/>
          <w:trHeight w:val="822"/>
        </w:trPr>
        <w:tc>
          <w:tcPr>
            <w:tcW w:type="dxa" w:w="147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20"/>
              </w:rPr>
              <w:t>校对</w:t>
            </w:r>
          </w:p>
        </w:tc>
        <w:tc>
          <w:tcPr>
            <w:tcW w:type="dxa" w:w="317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c>
          <w:tcPr>
            <w:tcW w:type="dxa" w:w="147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t>日期</w:t>
            </w:r>
          </w:p>
        </w:tc>
        <w:tc>
          <w:tcPr>
            <w:tcW w:type="dxa" w:w="334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r>
      <w:tr>
        <w:trPr>
          <w:cantSplit w:val="true"/>
          <w:trHeight w:val="822"/>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20"/>
              </w:rPr>
              <w:t>审核</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t>日期</w:t>
            </w:r>
          </w:p>
        </w:tc>
        <w:tc>
          <w:tcPr>
            <w:tcW w:type="dxa" w:w="334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r>
      <w:tr>
        <w:trPr>
          <w:cantSplit w:val="true"/>
          <w:trHeight w:val="822"/>
        </w:trPr>
        <w:tc>
          <w:tcPr>
            <w:tcW w:type="dxa" w:w="147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20"/>
              </w:rPr>
              <w:t>会签</w:t>
            </w:r>
          </w:p>
        </w:tc>
        <w:tc>
          <w:tcPr>
            <w:tcW w:type="dxa" w:w="317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c>
          <w:tcPr>
            <w:tcW w:type="dxa" w:w="147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t>日期</w:t>
            </w:r>
          </w:p>
        </w:tc>
        <w:tc>
          <w:tcPr>
            <w:tcW w:type="dxa" w:w="334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r>
      <w:tr>
        <w:trPr>
          <w:cantSplit w:val="true"/>
          <w:trHeight w:val="822"/>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20"/>
              </w:rPr>
              <w:t>批准</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t>日期</w:t>
            </w:r>
          </w:p>
        </w:tc>
        <w:tc>
          <w:tcPr>
            <w:tcW w:type="dxa" w:w="3345"/>
            <w:tcMar>
              <w:top w:w="100" w:type="dxa"/>
              <w:start w:w="120" w:type="dxa"/>
              <w:bottom w:w="100" w:type="dxa"/>
              <w:end w:w="120" w:type="dxa"/>
            </w:tcMar>
            <w:vAlign w:val="center"/>
          </w:tcPr>
          <w:p>
            <w:pPr>
              <w:jc w:val="left"/>
            </w:pPr>
            <w:r>
              <w:rPr>
                <w:rFonts w:ascii="Arial Unicode MS" w:hAnsi="Arial Unicode MS" w:eastAsia="Arial Unicode MS"/>
                <w:b w:val="0"/>
                <w:color w:val="1D2129"/>
                <w:sz w:val="20"/>
              </w:rPr>
            </w:r>
          </w:p>
        </w:tc>
      </w:tr>
    </w:tbl>
    <w:p>
      <w:pPr>
        <w:spacing w:after="20"/>
      </w:pPr>
    </w:p>
    <w:p>
      <w:pPr>
        <w:pStyle w:val="Heading2"/>
      </w:pPr>
      <w:r>
        <w:t>文档控制</w:t>
      </w:r>
    </w:p>
    <w:tbl>
      <w:tblPr>
        <w:tblStyle w:val="TableGrid"/>
        <w:tblW w:type="dxa" w:w="9468"/>
        <w:jc w:val="center"/>
        <w:tblLayout w:type="fixed"/>
        <w:tblLook w:firstColumn="1" w:firstRow="1" w:lastColumn="0" w:lastRow="0" w:noHBand="0" w:noVBand="1" w:val="04A0"/>
      </w:tblPr>
      <w:tblGrid>
        <w:gridCol w:w="2268"/>
        <w:gridCol w:w="7200"/>
      </w:tblGrid>
      <w:tr>
        <w:trPr>
          <w:tblHeader w:val="true"/>
          <w:cantSplit w:val="true"/>
        </w:trPr>
        <w:tc>
          <w:tcPr>
            <w:tcW w:type="dxa" w:w="226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9"/>
              </w:rPr>
              <w:t>项目</w:t>
            </w:r>
          </w:p>
        </w:tc>
        <w:tc>
          <w:tcPr>
            <w:tcW w:type="dxa" w:w="7200"/>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9"/>
              </w:rPr>
              <w:t>内容</w:t>
            </w:r>
          </w:p>
        </w:tc>
      </w:tr>
      <w:tr>
        <w:trPr>
          <w:cantSplit w:val="true"/>
        </w:trPr>
        <w:tc>
          <w:tcPr>
            <w:tcW w:type="dxa" w:w="2268"/>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文档名称</w:t>
            </w:r>
          </w:p>
        </w:tc>
        <w:tc>
          <w:tcPr>
            <w:tcW w:type="dxa" w:w="7200"/>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好丽友POS数据管理平台项目一阶段蓝图计划书</w:t>
            </w:r>
          </w:p>
        </w:tc>
      </w:tr>
      <w:tr>
        <w:trPr>
          <w:cantSplit w:val="true"/>
        </w:trPr>
        <w:tc>
          <w:tcPr>
            <w:tcW w:type="dxa" w:w="226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版本/状态</w:t>
            </w:r>
          </w:p>
        </w:tc>
        <w:tc>
          <w:tcPr>
            <w:tcW w:type="dxa" w:w="720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V1.0 / 评审稿</w:t>
            </w:r>
          </w:p>
        </w:tc>
      </w:tr>
      <w:tr>
        <w:trPr>
          <w:cantSplit w:val="true"/>
        </w:trPr>
        <w:tc>
          <w:tcPr>
            <w:tcW w:type="dxa" w:w="2268"/>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适用阶段</w:t>
            </w:r>
          </w:p>
        </w:tc>
        <w:tc>
          <w:tcPr>
            <w:tcW w:type="dxa" w:w="7200"/>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当前整个项目的第一阶段</w:t>
            </w:r>
          </w:p>
        </w:tc>
      </w:tr>
      <w:tr>
        <w:trPr>
          <w:cantSplit w:val="true"/>
        </w:trPr>
        <w:tc>
          <w:tcPr>
            <w:tcW w:type="dxa" w:w="226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编制依据</w:t>
            </w:r>
          </w:p>
        </w:tc>
        <w:tc>
          <w:tcPr>
            <w:tcW w:type="dxa" w:w="720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参考蓝图模板、当前项目原型代码、功能描述清单及设计验收记录</w:t>
            </w:r>
          </w:p>
        </w:tc>
      </w:tr>
      <w:tr>
        <w:trPr>
          <w:cantSplit w:val="true"/>
        </w:trPr>
        <w:tc>
          <w:tcPr>
            <w:tcW w:type="dxa" w:w="2268"/>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预期读者</w:t>
            </w:r>
          </w:p>
        </w:tc>
        <w:tc>
          <w:tcPr>
            <w:tcW w:type="dxa" w:w="7200"/>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项目发起人、业务负责人、POS担当、营业担当、产品、开发、测试、实施及运维人员</w:t>
            </w:r>
          </w:p>
        </w:tc>
      </w:tr>
      <w:tr>
        <w:trPr>
          <w:cantSplit w:val="true"/>
        </w:trPr>
        <w:tc>
          <w:tcPr>
            <w:tcW w:type="dxa" w:w="226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保密级别</w:t>
            </w:r>
          </w:p>
        </w:tc>
        <w:tc>
          <w:tcPr>
            <w:tcW w:type="dxa" w:w="720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项目内部</w:t>
            </w:r>
          </w:p>
        </w:tc>
      </w:tr>
    </w:tbl>
    <w:p>
      <w:pPr>
        <w:spacing w:after="20"/>
      </w:pPr>
    </w:p>
    <w:p>
      <w:pPr>
        <w:pStyle w:val="Heading2"/>
      </w:pPr>
      <w:r>
        <w:t>版本记录</w:t>
      </w:r>
    </w:p>
    <w:tbl>
      <w:tblPr>
        <w:tblStyle w:val="TableGrid"/>
        <w:tblW w:type="dxa" w:w="9468"/>
        <w:jc w:val="center"/>
        <w:tblLayout w:type="fixed"/>
        <w:tblLook w:firstColumn="1" w:firstRow="1" w:lastColumn="0" w:lastRow="0" w:noHBand="0" w:noVBand="1" w:val="04A0"/>
      </w:tblPr>
      <w:tblGrid>
        <w:gridCol w:w="1134"/>
        <w:gridCol w:w="1814"/>
        <w:gridCol w:w="4932"/>
        <w:gridCol w:w="1587"/>
      </w:tblGrid>
      <w:tr>
        <w:trPr>
          <w:tblHeader w:val="true"/>
          <w:cantSplit w:val="true"/>
        </w:trPr>
        <w:tc>
          <w:tcPr>
            <w:tcW w:type="dxa" w:w="113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版本</w:t>
            </w:r>
          </w:p>
        </w:tc>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日期</w:t>
            </w:r>
          </w:p>
        </w:tc>
        <w:tc>
          <w:tcPr>
            <w:tcW w:type="dxa" w:w="493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变更说明</w:t>
            </w:r>
          </w:p>
        </w:tc>
        <w:tc>
          <w:tcPr>
            <w:tcW w:type="dxa" w:w="158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编制人</w:t>
            </w:r>
          </w:p>
        </w:tc>
      </w:tr>
      <w:tr>
        <w:trPr>
          <w:cantSplit w:val="true"/>
        </w:trPr>
        <w:tc>
          <w:tcPr>
            <w:tcW w:type="dxa" w:w="113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V1.0</w:t>
            </w:r>
          </w:p>
        </w:tc>
        <w:tc>
          <w:tcPr>
            <w:tcW w:type="dxa" w:w="181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2026-08-05</w:t>
            </w:r>
          </w:p>
        </w:tc>
        <w:tc>
          <w:tcPr>
            <w:tcW w:type="dxa" w:w="493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基于当前项目形成一阶段完整蓝图与实施计划</w:t>
            </w:r>
          </w:p>
        </w:tc>
        <w:tc>
          <w:tcPr>
            <w:tcW w:type="dxa" w:w="158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待填写</w:t>
            </w:r>
          </w:p>
        </w:tc>
      </w:tr>
    </w:tbl>
    <w:p>
      <w:pPr>
        <w:spacing w:after="20"/>
      </w:pPr>
    </w:p>
    <w:p>
      <w:pPr>
        <w:sectPr>
          <w:headerReference w:type="default" r:id="rId10"/>
          <w:footerReference w:type="default" r:id="rId11"/>
          <w:pgSz w:w="11906" w:h="16838"/>
          <w:pgMar w:top="1276" w:right="1134" w:bottom="1247" w:left="1134" w:header="510" w:footer="510" w:gutter="0"/>
          <w:cols w:space="720"/>
          <w:docGrid w:linePitch="360"/>
        </w:sectPr>
      </w:pPr>
    </w:p>
    <w:p>
      <w:pPr>
        <w:pStyle w:val="Heading1"/>
        <w:jc w:val="center"/>
      </w:pPr>
      <w:r>
        <w:t>目录</w:t>
      </w:r>
    </w:p>
    <w:tbl>
      <w:tblPr>
        <w:tblStyle w:val="TableGrid"/>
        <w:tblW w:type="dxa" w:w="9468"/>
        <w:jc w:val="center"/>
        <w:tblLayout w:type="fixed"/>
        <w:tblLook w:firstColumn="1" w:firstRow="1" w:lastColumn="0" w:lastRow="0" w:noHBand="0" w:noVBand="1" w:val="04A0"/>
      </w:tblPr>
      <w:tblGrid>
        <w:gridCol w:w="1134"/>
        <w:gridCol w:w="8334"/>
      </w:tblGrid>
      <w:tr>
        <w:trPr>
          <w:tblHeader w:val="true"/>
          <w:cantSplit w:val="true"/>
        </w:trPr>
        <w:tc>
          <w:tcPr>
            <w:tcW w:type="dxa" w:w="113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9"/>
              </w:rPr>
              <w:t>章节</w:t>
            </w:r>
          </w:p>
        </w:tc>
        <w:tc>
          <w:tcPr>
            <w:tcW w:type="dxa" w:w="833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9"/>
              </w:rPr>
              <w:t>内容</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1</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项目概述</w:t>
            </w:r>
          </w:p>
        </w:tc>
      </w:tr>
      <w:tr>
        <w:trPr>
          <w:cantSplit w:val="true"/>
        </w:trPr>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2</w:t>
            </w:r>
          </w:p>
        </w:tc>
        <w:tc>
          <w:tcPr>
            <w:tcW w:type="dxa" w:w="83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一阶段总体蓝图</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3</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数据接入与自动处理蓝图</w:t>
            </w:r>
          </w:p>
        </w:tc>
      </w:tr>
      <w:tr>
        <w:trPr>
          <w:cantSplit w:val="true"/>
        </w:trPr>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4</w:t>
            </w:r>
          </w:p>
        </w:tc>
        <w:tc>
          <w:tcPr>
            <w:tcW w:type="dxa" w:w="83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业务应用蓝图方案</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5</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数据蓝图</w:t>
            </w:r>
          </w:p>
        </w:tc>
      </w:tr>
      <w:tr>
        <w:trPr>
          <w:cantSplit w:val="true"/>
        </w:trPr>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6</w:t>
            </w:r>
          </w:p>
        </w:tc>
        <w:tc>
          <w:tcPr>
            <w:tcW w:type="dxa" w:w="83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权限、安全与审计蓝图</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7</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非功能需求蓝图</w:t>
            </w:r>
          </w:p>
        </w:tc>
      </w:tr>
      <w:tr>
        <w:trPr>
          <w:cantSplit w:val="true"/>
        </w:trPr>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8</w:t>
            </w:r>
          </w:p>
        </w:tc>
        <w:tc>
          <w:tcPr>
            <w:tcW w:type="dxa" w:w="83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一阶段实施计划</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9</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测试与验收方案</w:t>
            </w:r>
          </w:p>
        </w:tc>
      </w:tr>
      <w:tr>
        <w:trPr>
          <w:cantSplit w:val="true"/>
        </w:trPr>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10</w:t>
            </w:r>
          </w:p>
        </w:tc>
        <w:tc>
          <w:tcPr>
            <w:tcW w:type="dxa" w:w="83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风险、依赖与待确认事项</w:t>
            </w:r>
          </w:p>
        </w:tc>
      </w:tr>
      <w:tr>
        <w:trPr>
          <w:cantSplit w:val="true"/>
        </w:trPr>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11</w:t>
            </w:r>
          </w:p>
        </w:tc>
        <w:tc>
          <w:tcPr>
            <w:tcW w:type="dxa" w:w="8334"/>
            <w:tcMar>
              <w:top w:w="100" w:type="dxa"/>
              <w:start w:w="120" w:type="dxa"/>
              <w:bottom w:w="100" w:type="dxa"/>
              <w:end w:w="120" w:type="dxa"/>
            </w:tcMar>
            <w:vAlign w:val="center"/>
          </w:tcPr>
          <w:p>
            <w:pPr>
              <w:jc w:val="left"/>
            </w:pPr>
            <w:r>
              <w:rPr>
                <w:rFonts w:ascii="Arial Unicode MS" w:hAnsi="Arial Unicode MS" w:eastAsia="Arial Unicode MS"/>
                <w:b w:val="0"/>
                <w:color w:val="1D2129"/>
                <w:sz w:val="19"/>
              </w:rPr>
              <w:t>附件</w:t>
            </w:r>
          </w:p>
        </w:tc>
      </w:tr>
    </w:tbl>
    <w:p>
      <w:pPr>
        <w:spacing w:after="20"/>
      </w:pPr>
    </w:p>
    <w:p>
      <w:r>
        <w:fldChar w:fldCharType="begin"/>
        <w:instrText xml:space="preserve">TOC \o "1-3" \h \z \u</w:instrText>
        <w:fldChar w:fldCharType="separate"/>
        <w:t>右键选择“更新域”以刷新目录</w:t>
        <w:fldChar w:fldCharType="end"/>
      </w:r>
    </w:p>
    <w:tbl>
      <w:tblPr>
        <w:tblW w:type="dxa" w:w="9468"/>
        <w:tblLayout w:type="fixed"/>
        <w:tblLook w:firstColumn="1" w:firstRow="1" w:lastColumn="0" w:lastRow="0" w:noHBand="0" w:noVBand="1" w:val="04A0"/>
      </w:tblPr>
      <w:tblGrid>
        <w:gridCol w:w="9468"/>
      </w:tblGrid>
      <w:tr>
        <w:tc>
          <w:tcPr>
            <w:tcW w:type="dxa" w:w="9468"/>
            <w:shd w:fill="EAF3FF"/>
            <w:tcMar>
              <w:top w:w="140" w:type="dxa"/>
              <w:start w:w="180" w:type="dxa"/>
              <w:bottom w:w="140" w:type="dxa"/>
              <w:end w:w="180" w:type="dxa"/>
            </w:tcMar>
          </w:tcPr>
          <w:p>
            <w:r>
              <w:rPr>
                <w:rFonts w:ascii="Arial Unicode MS" w:hAnsi="Arial Unicode MS" w:eastAsia="Arial Unicode MS"/>
                <w:b/>
                <w:color w:val="155EEF"/>
                <w:sz w:val="21"/>
              </w:rPr>
              <w:t>说明：</w:t>
            </w:r>
            <w:r>
              <w:rPr>
                <w:rFonts w:ascii="Arial Unicode MS" w:hAnsi="Arial Unicode MS" w:eastAsia="Arial Unicode MS"/>
                <w:b w:val="0"/>
                <w:color w:val="1D2129"/>
                <w:sz w:val="21"/>
              </w:rPr>
              <w:t>目录与页码为 Word 域。首次打开文档时可按 Ctrl+A 后按 F9 刷新。</w:t>
            </w:r>
          </w:p>
        </w:tc>
      </w:tr>
    </w:tbl>
    <w:p>
      <w:pPr>
        <w:spacing w:after="20"/>
      </w:pPr>
    </w:p>
    <w:p>
      <w:pPr>
        <w:sectPr>
          <w:headerReference w:type="default" r:id="rId12"/>
          <w:footerReference w:type="default" r:id="rId13"/>
          <w:pgSz w:w="11906" w:h="16838"/>
          <w:pgMar w:top="1276" w:right="1134" w:bottom="1247" w:left="1134" w:header="510" w:footer="510" w:gutter="0"/>
          <w:cols w:space="720"/>
          <w:docGrid w:linePitch="360"/>
        </w:sectPr>
      </w:pPr>
    </w:p>
    <w:p>
      <w:pPr>
        <w:pStyle w:val="Heading1"/>
      </w:pPr>
      <w:r>
        <w:t>1. 项目概述</w:t>
      </w:r>
    </w:p>
    <w:p>
      <w:pPr>
        <w:pStyle w:val="Heading2"/>
      </w:pPr>
      <w:r>
        <w:t>1.1 文档目的</w:t>
      </w:r>
    </w:p>
    <w:p>
      <w:pPr>
        <w:spacing w:line="360" w:lineRule="auto"/>
        <w:ind w:firstLine="420"/>
      </w:pPr>
      <w:r>
        <w:rPr>
          <w:rFonts w:ascii="Arial Unicode MS" w:hAnsi="Arial Unicode MS" w:eastAsia="Arial Unicode MS"/>
          <w:b w:val="0"/>
          <w:color w:val="1D2129"/>
          <w:sz w:val="21"/>
        </w:rPr>
        <w:t>本文档在需求调研和当前产品原型的基础上，对好丽友POS数据管理平台项目第一阶段进行蓝图设计，并给出实施、测试、上线和验收计划。文档用于统一业务目标、功能范围、数据口径、处理流程、权限边界和交付标准，是后续详细设计、开发、测试、用户验收及项目管理的共同基线。</w:t>
      </w:r>
    </w:p>
    <w:p>
      <w:pPr>
        <w:pStyle w:val="Heading2"/>
      </w:pPr>
      <w:r>
        <w:t>1.2 项目背景</w:t>
      </w:r>
    </w:p>
    <w:p>
      <w:pPr>
        <w:spacing w:line="360" w:lineRule="auto"/>
        <w:ind w:firstLine="420"/>
      </w:pPr>
      <w:r>
        <w:rPr>
          <w:rFonts w:ascii="Arial Unicode MS" w:hAnsi="Arial Unicode MS" w:eastAsia="Arial Unicode MS"/>
          <w:b w:val="0"/>
          <w:color w:val="1D2129"/>
          <w:sz w:val="21"/>
        </w:rPr>
        <w:t>当前终端门店POS销售数据主要由业务人员拜访门店、合作方反馈或周期性文件提交获得，源文件以 Excel、CSV、PDF、压缩包等形式为主。不同客户系统的字段名称、表头位置、数据格式、门店编码和产品编码存在差异；在数据进入分析环节前，通常需要经历收件确认、解压拆分、字段识别、门店匹配、产品匹配、质量校验、异常沟通、人工修正、汇总输出等多道处理。</w:t>
      </w:r>
    </w:p>
    <w:p>
      <w:pPr>
        <w:spacing w:line="360" w:lineRule="auto"/>
        <w:ind w:firstLine="420"/>
      </w:pPr>
      <w:r>
        <w:rPr>
          <w:rFonts w:ascii="Arial Unicode MS" w:hAnsi="Arial Unicode MS" w:eastAsia="Arial Unicode MS"/>
          <w:b w:val="0"/>
          <w:color w:val="1D2129"/>
          <w:sz w:val="21"/>
        </w:rPr>
        <w:t>当月文件数量大、来源分散且问题类型多样时，纯人工处理容易形成周期长、重复劳动多、进度不透明、版本不可追溯和质量口径不一致等问题。项目拟通过标准化平台、自动化流程与AI辅助识别，建立从文件接入到标准POS明细沉淀的闭环。</w:t>
      </w:r>
    </w:p>
    <w:tbl>
      <w:tblPr>
        <w:tblW w:type="dxa" w:w="9468"/>
        <w:tblLayout w:type="fixed"/>
        <w:tblLook w:firstColumn="1" w:firstRow="1" w:lastColumn="0" w:lastRow="0" w:noHBand="0" w:noVBand="1" w:val="04A0"/>
      </w:tblPr>
      <w:tblGrid>
        <w:gridCol w:w="9468"/>
      </w:tblGrid>
      <w:tr>
        <w:tc>
          <w:tcPr>
            <w:tcW w:type="dxa" w:w="9468"/>
            <w:shd w:fill="EAF3FF"/>
            <w:tcMar>
              <w:top w:w="140" w:type="dxa"/>
              <w:start w:w="180" w:type="dxa"/>
              <w:bottom w:w="140" w:type="dxa"/>
              <w:end w:w="180" w:type="dxa"/>
            </w:tcMar>
          </w:tcPr>
          <w:p>
            <w:r>
              <w:rPr>
                <w:rFonts w:ascii="Arial Unicode MS" w:hAnsi="Arial Unicode MS" w:eastAsia="Arial Unicode MS"/>
                <w:b/>
                <w:color w:val="155EEF"/>
                <w:sz w:val="21"/>
              </w:rPr>
              <w:t>一阶段定位：</w:t>
            </w:r>
            <w:r>
              <w:rPr>
                <w:rFonts w:ascii="Arial Unicode MS" w:hAnsi="Arial Unicode MS" w:eastAsia="Arial Unicode MS"/>
                <w:b w:val="0"/>
                <w:color w:val="1D2129"/>
                <w:sz w:val="21"/>
              </w:rPr>
              <w:t>搭建可运行、可追踪、可质检、可沉淀的POS数据处理主流程，优先解决“文件收得到、数据看得懂、异常找得到、责任追得清、结果导得出”。</w:t>
            </w:r>
          </w:p>
        </w:tc>
      </w:tr>
    </w:tbl>
    <w:p>
      <w:pPr>
        <w:spacing w:after="20"/>
      </w:pPr>
    </w:p>
    <w:p>
      <w:pPr>
        <w:pStyle w:val="Heading2"/>
      </w:pPr>
      <w:r>
        <w:t>1.3 建设目标</w:t>
      </w:r>
    </w:p>
    <w:tbl>
      <w:tblPr>
        <w:tblStyle w:val="TableGrid"/>
        <w:tblW w:type="dxa" w:w="9468"/>
        <w:jc w:val="center"/>
        <w:tblLayout w:type="fixed"/>
        <w:tblLook w:firstColumn="1" w:firstRow="1" w:lastColumn="0" w:lastRow="0" w:noHBand="0" w:noVBand="1" w:val="04A0"/>
      </w:tblPr>
      <w:tblGrid>
        <w:gridCol w:w="1134"/>
        <w:gridCol w:w="5273"/>
        <w:gridCol w:w="3061"/>
      </w:tblGrid>
      <w:tr>
        <w:trPr>
          <w:tblHeader w:val="true"/>
          <w:cantSplit w:val="true"/>
        </w:trPr>
        <w:tc>
          <w:tcPr>
            <w:tcW w:type="dxa" w:w="113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目标维度</w:t>
            </w:r>
          </w:p>
        </w:tc>
        <w:tc>
          <w:tcPr>
            <w:tcW w:type="dxa" w:w="5273"/>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一阶段目标</w:t>
            </w:r>
          </w:p>
        </w:tc>
        <w:tc>
          <w:tcPr>
            <w:tcW w:type="dxa" w:w="306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衡量方式</w:t>
            </w:r>
          </w:p>
        </w:tc>
      </w:tr>
      <w:tr>
        <w:trPr>
          <w:cantSplit w:val="true"/>
        </w:trPr>
        <w:tc>
          <w:tcPr>
            <w:tcW w:type="dxa" w:w="113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效率</w:t>
            </w:r>
          </w:p>
        </w:tc>
        <w:tc>
          <w:tcPr>
            <w:tcW w:type="dxa" w:w="5273"/>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通过自动解压、文件识别、字段映射、门店匹配和批量校验减少重复操作</w:t>
            </w:r>
          </w:p>
        </w:tc>
        <w:tc>
          <w:tcPr>
            <w:tcW w:type="dxa" w:w="306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处理时长、自动识别率、人工介入比例</w:t>
            </w:r>
          </w:p>
        </w:tc>
      </w:tr>
      <w:tr>
        <w:trPr>
          <w:cantSplit w:val="true"/>
        </w:trPr>
        <w:tc>
          <w:tcPr>
            <w:tcW w:type="dxa" w:w="113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质量</w:t>
            </w:r>
          </w:p>
        </w:tc>
        <w:tc>
          <w:tcPr>
            <w:tcW w:type="dxa" w:w="5273"/>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以统一字段和规则识别缺失、格式、重复、映射、数值及逻辑异常</w:t>
            </w:r>
          </w:p>
        </w:tc>
        <w:tc>
          <w:tcPr>
            <w:tcW w:type="dxa" w:w="306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质检通过率、异常闭环率、抽检准确率</w:t>
            </w:r>
          </w:p>
        </w:tc>
      </w:tr>
      <w:tr>
        <w:trPr>
          <w:cantSplit w:val="true"/>
        </w:trPr>
        <w:tc>
          <w:tcPr>
            <w:tcW w:type="dxa" w:w="113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透明</w:t>
            </w:r>
          </w:p>
        </w:tc>
        <w:tc>
          <w:tcPr>
            <w:tcW w:type="dxa" w:w="5273"/>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对文件收取、待处理、质检、驳回、复核和同步状态全过程可视</w:t>
            </w:r>
          </w:p>
        </w:tc>
        <w:tc>
          <w:tcPr>
            <w:tcW w:type="dxa" w:w="306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状态覆盖率、超时记录、操作日志完整率</w:t>
            </w:r>
          </w:p>
        </w:tc>
      </w:tr>
      <w:tr>
        <w:trPr>
          <w:cantSplit w:val="true"/>
        </w:trPr>
        <w:tc>
          <w:tcPr>
            <w:tcW w:type="dxa" w:w="113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沉淀</w:t>
            </w:r>
          </w:p>
        </w:tc>
        <w:tc>
          <w:tcPr>
            <w:tcW w:type="dxa" w:w="5273"/>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形成标准POS明细台账、门店对照、字段列表和月度提交监控</w:t>
            </w:r>
          </w:p>
        </w:tc>
        <w:tc>
          <w:tcPr>
            <w:tcW w:type="dxa" w:w="306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标准明细完整率、可导出性、分析口径一致性</w:t>
            </w:r>
          </w:p>
        </w:tc>
      </w:tr>
      <w:tr>
        <w:trPr>
          <w:cantSplit w:val="true"/>
        </w:trPr>
        <w:tc>
          <w:tcPr>
            <w:tcW w:type="dxa" w:w="113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治理</w:t>
            </w:r>
          </w:p>
        </w:tc>
        <w:tc>
          <w:tcPr>
            <w:tcW w:type="dxa" w:w="5273"/>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建立角色权限、组织数据范围、字段配置和审计日志</w:t>
            </w:r>
          </w:p>
        </w:tc>
        <w:tc>
          <w:tcPr>
            <w:tcW w:type="dxa" w:w="306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越权测试、审计可追溯、配置生效正确性</w:t>
            </w:r>
          </w:p>
        </w:tc>
      </w:tr>
    </w:tbl>
    <w:p>
      <w:pPr>
        <w:spacing w:after="20"/>
      </w:pPr>
    </w:p>
    <w:p>
      <w:pPr>
        <w:pStyle w:val="Heading2"/>
      </w:pPr>
      <w:r>
        <w:t>1.4 一阶段建设范围</w:t>
      </w:r>
    </w:p>
    <w:tbl>
      <w:tblPr>
        <w:tblStyle w:val="TableGrid"/>
        <w:tblW w:type="dxa" w:w="9468"/>
        <w:jc w:val="center"/>
        <w:tblLayout w:type="fixed"/>
        <w:tblLook w:firstColumn="1" w:firstRow="1" w:lastColumn="0" w:lastRow="0" w:noHBand="0" w:noVBand="1" w:val="04A0"/>
      </w:tblPr>
      <w:tblGrid>
        <w:gridCol w:w="1247"/>
        <w:gridCol w:w="3969"/>
        <w:gridCol w:w="4252"/>
      </w:tblGrid>
      <w:tr>
        <w:trPr>
          <w:tblHeader w:val="true"/>
          <w:cantSplit w:val="true"/>
        </w:trPr>
        <w:tc>
          <w:tcPr>
            <w:tcW w:type="dxa" w:w="124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范围类型</w:t>
            </w:r>
          </w:p>
        </w:tc>
        <w:tc>
          <w:tcPr>
            <w:tcW w:type="dxa" w:w="396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纳入一阶段</w:t>
            </w:r>
          </w:p>
        </w:tc>
        <w:tc>
          <w:tcPr>
            <w:tcW w:type="dxa" w:w="425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说明</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业务功能</w:t>
            </w:r>
          </w:p>
        </w:tc>
        <w:tc>
          <w:tcPr>
            <w:tcW w:type="dxa" w:w="396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首页概览、文件收取、质量检查、台账与汇总、数据分析、系统设置</w:t>
            </w:r>
          </w:p>
        </w:tc>
        <w:tc>
          <w:tcPr>
            <w:tcW w:type="dxa" w:w="425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以当前项目原型已覆盖的完整主流程为基线</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数据对象</w:t>
            </w:r>
          </w:p>
        </w:tc>
        <w:tc>
          <w:tcPr>
            <w:tcW w:type="dxa" w:w="396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文件、附件、门店、经销商、组织、产品、标准POS明细、异常、处理记录</w:t>
            </w:r>
          </w:p>
        </w:tc>
        <w:tc>
          <w:tcPr>
            <w:tcW w:type="dxa" w:w="425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统一标识、状态和关联关系</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自动化能力</w:t>
            </w:r>
          </w:p>
        </w:tc>
        <w:tc>
          <w:tcPr>
            <w:tcW w:type="dxa" w:w="396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文件/压缩包解析、字段识别、重复识别、规则校验、匹配建议、结果输出</w:t>
            </w:r>
          </w:p>
        </w:tc>
        <w:tc>
          <w:tcPr>
            <w:tcW w:type="dxa" w:w="425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低置信度和关键异常进入人工复核</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权限治理</w:t>
            </w:r>
          </w:p>
        </w:tc>
        <w:tc>
          <w:tcPr>
            <w:tcW w:type="dxa" w:w="396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用户、角色、功能权限、组织数据权限、系统日志、字段配置</w:t>
            </w:r>
          </w:p>
        </w:tc>
        <w:tc>
          <w:tcPr>
            <w:tcW w:type="dxa" w:w="425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用户权限从角色继承，数据范围按组织控制</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终端形态</w:t>
            </w:r>
          </w:p>
        </w:tc>
        <w:tc>
          <w:tcPr>
            <w:tcW w:type="dxa" w:w="396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桌面Web端；中文/韩文界面基础能力</w:t>
            </w:r>
          </w:p>
        </w:tc>
        <w:tc>
          <w:tcPr>
            <w:tcW w:type="dxa" w:w="425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移动端不作为一阶段主交付</w:t>
            </w:r>
          </w:p>
        </w:tc>
      </w:tr>
    </w:tbl>
    <w:p>
      <w:pPr>
        <w:spacing w:after="20"/>
      </w:pPr>
    </w:p>
    <w:p>
      <w:pPr>
        <w:pStyle w:val="Heading2"/>
      </w:pPr>
      <w:r>
        <w:t>1.5 非一阶段范围</w:t>
      </w:r>
    </w:p>
    <w:p>
      <w:pPr>
        <w:pStyle w:val="ListBullet"/>
        <w:spacing w:after="60"/>
        <w:ind w:left="425" w:hanging="198"/>
      </w:pPr>
      <w:r>
        <w:rPr>
          <w:rFonts w:ascii="Arial Unicode MS" w:hAnsi="Arial Unicode MS" w:eastAsia="Arial Unicode MS"/>
          <w:b w:val="0"/>
          <w:color w:val="1D2129"/>
          <w:sz w:val="21"/>
        </w:rPr>
        <w:t>面向外部门店的独立移动App或小程序；</w:t>
      </w:r>
    </w:p>
    <w:p>
      <w:pPr>
        <w:pStyle w:val="ListBullet"/>
        <w:spacing w:after="60"/>
        <w:ind w:left="425" w:hanging="198"/>
      </w:pPr>
      <w:r>
        <w:rPr>
          <w:rFonts w:ascii="Arial Unicode MS" w:hAnsi="Arial Unicode MS" w:eastAsia="Arial Unicode MS"/>
          <w:b w:val="0"/>
          <w:color w:val="1D2129"/>
          <w:sz w:val="21"/>
        </w:rPr>
        <w:t>全集团级数据中台、复杂主数据治理平台或替换现有ERP/CRM系统；</w:t>
      </w:r>
    </w:p>
    <w:p>
      <w:pPr>
        <w:pStyle w:val="ListBullet"/>
        <w:spacing w:after="60"/>
        <w:ind w:left="425" w:hanging="198"/>
      </w:pPr>
      <w:r>
        <w:rPr>
          <w:rFonts w:ascii="Arial Unicode MS" w:hAnsi="Arial Unicode MS" w:eastAsia="Arial Unicode MS"/>
          <w:b w:val="0"/>
          <w:color w:val="1D2129"/>
          <w:sz w:val="21"/>
        </w:rPr>
        <w:t>未经确认的外部系统双向实时写回；</w:t>
      </w:r>
    </w:p>
    <w:p>
      <w:pPr>
        <w:pStyle w:val="ListBullet"/>
        <w:spacing w:after="60"/>
        <w:ind w:left="425" w:hanging="198"/>
      </w:pPr>
      <w:r>
        <w:rPr>
          <w:rFonts w:ascii="Arial Unicode MS" w:hAnsi="Arial Unicode MS" w:eastAsia="Arial Unicode MS"/>
          <w:b w:val="0"/>
          <w:color w:val="1D2129"/>
          <w:sz w:val="21"/>
        </w:rPr>
        <w:t>预测销量、智能补货、费用结算等高级经营模型；</w:t>
      </w:r>
    </w:p>
    <w:p>
      <w:pPr>
        <w:pStyle w:val="ListBullet"/>
        <w:spacing w:after="60"/>
        <w:ind w:left="425" w:hanging="198"/>
      </w:pPr>
      <w:r>
        <w:rPr>
          <w:rFonts w:ascii="Arial Unicode MS" w:hAnsi="Arial Unicode MS" w:eastAsia="Arial Unicode MS"/>
          <w:b w:val="0"/>
          <w:color w:val="1D2129"/>
          <w:sz w:val="21"/>
        </w:rPr>
        <w:t>完全无人值守的自动放行——关键异常和低置信度结果仍需人工复核。</w:t>
      </w:r>
    </w:p>
    <w:p>
      <w:pPr>
        <w:pStyle w:val="Heading2"/>
      </w:pPr>
      <w:r>
        <w:t>1.6 术语和缩略语</w:t>
      </w:r>
    </w:p>
    <w:tbl>
      <w:tblPr>
        <w:tblStyle w:val="TableGrid"/>
        <w:tblW w:type="dxa" w:w="9468"/>
        <w:jc w:val="center"/>
        <w:tblLayout w:type="fixed"/>
        <w:tblLook w:firstColumn="1" w:firstRow="1" w:lastColumn="0" w:lastRow="0" w:noHBand="0" w:noVBand="1" w:val="04A0"/>
      </w:tblPr>
      <w:tblGrid>
        <w:gridCol w:w="1984"/>
        <w:gridCol w:w="7484"/>
      </w:tblGrid>
      <w:tr>
        <w:trPr>
          <w:tblHeader w:val="true"/>
          <w:cantSplit w:val="true"/>
        </w:trPr>
        <w:tc>
          <w:tcPr>
            <w:tcW w:type="dxa" w:w="19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术语</w:t>
            </w:r>
          </w:p>
        </w:tc>
        <w:tc>
          <w:tcPr>
            <w:tcW w:type="dxa" w:w="74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说明</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POS</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Point of Sale，本项目指终端门店销售明细数据。</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标准POS明细</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经解析、字段标准化、主数据匹配和质量校验后形成的统一粒度销售记录。</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文件箱/收件箱</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集中展示收到的原始文件、附件及其处理状态的工作区。</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ACC</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业务侧客户或渠道识别字段，具体编码体系以主数据确认为准。</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客户交易处</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客户系统侧用于识别门店或交易主体的编码/名称。</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好丽友交易处</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平台侧标准主数据中的交易主体编码/名称。</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质检</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对结构、必填、格式、主数据、重复、数值和逻辑一致性进行检查。</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RPA</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Robotic Process Automation，用于执行可规则化、重复性的文件和数据处理动作。</w:t>
            </w:r>
          </w:p>
        </w:tc>
      </w:tr>
    </w:tbl>
    <w:p>
      <w:pPr>
        <w:spacing w:after="20"/>
      </w:pPr>
    </w:p>
    <w:p>
      <w:r>
        <w:br w:type="page"/>
      </w:r>
    </w:p>
    <w:p>
      <w:pPr>
        <w:pStyle w:val="Heading1"/>
      </w:pPr>
      <w:r>
        <w:t>2. 一阶段总体蓝图</w:t>
      </w:r>
    </w:p>
    <w:p>
      <w:pPr>
        <w:pStyle w:val="Heading2"/>
      </w:pPr>
      <w:r>
        <w:t>2.1 设计原则</w:t>
      </w:r>
    </w:p>
    <w:tbl>
      <w:tblPr>
        <w:tblStyle w:val="TableGrid"/>
        <w:tblW w:type="dxa" w:w="9468"/>
        <w:jc w:val="center"/>
        <w:tblLayout w:type="fixed"/>
        <w:tblLook w:firstColumn="1" w:firstRow="1" w:lastColumn="0" w:lastRow="0" w:noHBand="0" w:noVBand="1" w:val="04A0"/>
      </w:tblPr>
      <w:tblGrid>
        <w:gridCol w:w="1701"/>
        <w:gridCol w:w="7767"/>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原则</w:t>
            </w:r>
          </w:p>
        </w:tc>
        <w:tc>
          <w:tcPr>
            <w:tcW w:type="dxa" w:w="776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蓝图要求</w:t>
            </w:r>
          </w:p>
        </w:tc>
      </w:tr>
      <w:tr>
        <w:trPr>
          <w:cantSplit w:val="true"/>
        </w:trPr>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标准先行</w:t>
            </w:r>
          </w:p>
        </w:tc>
        <w:tc>
          <w:tcPr>
            <w:tcW w:type="dxa" w:w="776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先确定标准字段、状态、质量规则和主数据关系，再实施自动化。</w:t>
            </w:r>
          </w:p>
        </w:tc>
      </w:tr>
      <w:tr>
        <w:trPr>
          <w:cantSplit w:val="true"/>
        </w:trPr>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人机协同</w:t>
            </w:r>
          </w:p>
        </w:tc>
        <w:tc>
          <w:tcPr>
            <w:tcW w:type="dxa" w:w="776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AI提供识别、匹配和异常建议；业务人员对低置信度及关键结果负责确认。</w:t>
            </w:r>
          </w:p>
        </w:tc>
      </w:tr>
      <w:tr>
        <w:trPr>
          <w:cantSplit w:val="true"/>
        </w:trPr>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过程留痕</w:t>
            </w:r>
          </w:p>
        </w:tc>
        <w:tc>
          <w:tcPr>
            <w:tcW w:type="dxa" w:w="776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原文件、解析结果、修改前后值、操作人、时间、驳回原因和复核结果可追溯。</w:t>
            </w:r>
          </w:p>
        </w:tc>
      </w:tr>
      <w:tr>
        <w:trPr>
          <w:cantSplit w:val="true"/>
        </w:trPr>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配置驱动</w:t>
            </w:r>
          </w:p>
        </w:tc>
        <w:tc>
          <w:tcPr>
            <w:tcW w:type="dxa" w:w="776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字段别名、是否必填、是否参与质检和是否显示在台账尽量配置化。</w:t>
            </w:r>
          </w:p>
        </w:tc>
      </w:tr>
      <w:tr>
        <w:trPr>
          <w:cantSplit w:val="true"/>
        </w:trPr>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权限内生</w:t>
            </w:r>
          </w:p>
        </w:tc>
        <w:tc>
          <w:tcPr>
            <w:tcW w:type="dxa" w:w="776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功能权限与组织数据权限在所有列表、详情、导出及操作中一致执行。</w:t>
            </w:r>
          </w:p>
        </w:tc>
      </w:tr>
      <w:tr>
        <w:trPr>
          <w:cantSplit w:val="true"/>
        </w:trPr>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渐进上线</w:t>
            </w:r>
          </w:p>
        </w:tc>
        <w:tc>
          <w:tcPr>
            <w:tcW w:type="dxa" w:w="776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按代表性区域和文件模板试点，经过回归与并行核对后逐步扩围。</w:t>
            </w:r>
          </w:p>
        </w:tc>
      </w:tr>
    </w:tbl>
    <w:p>
      <w:pPr>
        <w:spacing w:after="20"/>
      </w:pPr>
    </w:p>
    <w:p>
      <w:pPr>
        <w:pStyle w:val="Heading2"/>
      </w:pPr>
      <w:r>
        <w:t>2.2 业务能力架构</w:t>
      </w:r>
    </w:p>
    <w:tbl>
      <w:tblPr>
        <w:tblStyle w:val="TableGrid"/>
        <w:tblW w:type="dxa" w:w="9468"/>
        <w:jc w:val="center"/>
        <w:tblLayout w:type="fixed"/>
        <w:tblLook w:firstColumn="1" w:firstRow="1" w:lastColumn="0" w:lastRow="0" w:noHBand="0" w:noVBand="1" w:val="04A0"/>
      </w:tblPr>
      <w:tblGrid>
        <w:gridCol w:w="1247"/>
        <w:gridCol w:w="3175"/>
        <w:gridCol w:w="5046"/>
      </w:tblGrid>
      <w:tr>
        <w:trPr>
          <w:tblHeader w:val="true"/>
          <w:cantSplit w:val="true"/>
        </w:trPr>
        <w:tc>
          <w:tcPr>
            <w:tcW w:type="dxa" w:w="124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层级</w:t>
            </w:r>
          </w:p>
        </w:tc>
        <w:tc>
          <w:tcPr>
            <w:tcW w:type="dxa" w:w="317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能力模块</w:t>
            </w:r>
          </w:p>
        </w:tc>
        <w:tc>
          <w:tcPr>
            <w:tcW w:type="dxa" w:w="5046"/>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主要能力</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用户触点</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Web工作台 / 中韩文界面</w:t>
            </w:r>
          </w:p>
        </w:tc>
        <w:tc>
          <w:tcPr>
            <w:tcW w:type="dxa" w:w="5046"/>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登录、导航、全局年月、消息提示、智能辅助</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业务应用</w:t>
            </w:r>
          </w:p>
        </w:tc>
        <w:tc>
          <w:tcPr>
            <w:tcW w:type="dxa" w:w="317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首页概览 / 文件收取 / 质量检查 / 台账与汇总 / 数据分析</w:t>
            </w:r>
          </w:p>
        </w:tc>
        <w:tc>
          <w:tcPr>
            <w:tcW w:type="dxa" w:w="504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收取跟踪、处理闭环、质量控制、数据沉淀与监控</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平台治理</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 / 角色权限 / 字段配置 / 系统日志</w:t>
            </w:r>
          </w:p>
        </w:tc>
        <w:tc>
          <w:tcPr>
            <w:tcW w:type="dxa" w:w="5046"/>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身份、授权、组织范围、规则配置、审计追溯</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智能处理</w:t>
            </w:r>
          </w:p>
        </w:tc>
        <w:tc>
          <w:tcPr>
            <w:tcW w:type="dxa" w:w="317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解析 / 拆分 / 识别 / 映射 / 校验 / 建议</w:t>
            </w:r>
          </w:p>
        </w:tc>
        <w:tc>
          <w:tcPr>
            <w:tcW w:type="dxa" w:w="504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RPA执行固定流程，AI处理非标准结构与辅助判断</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数据服务</w:t>
            </w:r>
          </w:p>
        </w:tc>
        <w:tc>
          <w:tcPr>
            <w:tcW w:type="dxa" w:w="317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原始区 / 标准区 / 质量区 / 台账区 / 分析区</w:t>
            </w:r>
          </w:p>
        </w:tc>
        <w:tc>
          <w:tcPr>
            <w:tcW w:type="dxa" w:w="5046"/>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原始留存、标准化、异常记录、结果输出与统计</w:t>
            </w:r>
          </w:p>
        </w:tc>
      </w:tr>
    </w:tbl>
    <w:p>
      <w:pPr>
        <w:spacing w:after="20"/>
      </w:pPr>
    </w:p>
    <w:p>
      <w:pPr>
        <w:pStyle w:val="Heading2"/>
      </w:pPr>
      <w:r>
        <w:t>2.3 端到端业务流程</w:t>
      </w:r>
    </w:p>
    <w:tbl>
      <w:tblPr>
        <w:tblStyle w:val="TableGrid"/>
        <w:tblW w:type="dxa" w:w="9468"/>
        <w:tblLayout w:type="fixed"/>
        <w:tblLook w:firstColumn="1" w:firstRow="1" w:lastColumn="0" w:lastRow="0" w:noHBand="0" w:noVBand="1" w:val="04A0"/>
      </w:tblPr>
      <w:tblGrid>
        <w:gridCol w:w="1183"/>
        <w:gridCol w:w="1183"/>
        <w:gridCol w:w="1183"/>
        <w:gridCol w:w="1183"/>
        <w:gridCol w:w="1183"/>
        <w:gridCol w:w="1183"/>
        <w:gridCol w:w="1183"/>
        <w:gridCol w:w="1183"/>
      </w:tblGrid>
      <w:tr>
        <w:tc>
          <w:tcPr>
            <w:tcW w:type="dxa" w:w="118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1</w:t>
              <w:br/>
              <w:t>文件接入</w:t>
            </w:r>
          </w:p>
        </w:tc>
        <w:tc>
          <w:tcPr>
            <w:tcW w:type="dxa" w:w="118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2</w:t>
              <w:br/>
              <w:t>预检与解压</w:t>
            </w:r>
          </w:p>
        </w:tc>
        <w:tc>
          <w:tcPr>
            <w:tcW w:type="dxa" w:w="118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3</w:t>
              <w:br/>
              <w:t>结构解析</w:t>
            </w:r>
          </w:p>
        </w:tc>
        <w:tc>
          <w:tcPr>
            <w:tcW w:type="dxa" w:w="118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4</w:t>
              <w:br/>
              <w:t>主数据匹配</w:t>
            </w:r>
          </w:p>
        </w:tc>
        <w:tc>
          <w:tcPr>
            <w:tcW w:type="dxa" w:w="118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5</w:t>
              <w:br/>
              <w:t>质量检查</w:t>
            </w:r>
          </w:p>
        </w:tc>
        <w:tc>
          <w:tcPr>
            <w:tcW w:type="dxa" w:w="118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6</w:t>
              <w:br/>
              <w:t>人工处置</w:t>
            </w:r>
          </w:p>
        </w:tc>
        <w:tc>
          <w:tcPr>
            <w:tcW w:type="dxa" w:w="118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7</w:t>
              <w:br/>
              <w:t>复核通过</w:t>
            </w:r>
          </w:p>
        </w:tc>
        <w:tc>
          <w:tcPr>
            <w:tcW w:type="dxa" w:w="118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8</w:t>
              <w:br/>
              <w:t>台账沉淀</w:t>
            </w:r>
          </w:p>
        </w:tc>
      </w:tr>
    </w:tbl>
    <w:p>
      <w:pPr>
        <w:spacing w:after="20"/>
      </w:pPr>
    </w:p>
    <w:p>
      <w:pPr>
        <w:spacing w:line="360" w:lineRule="auto"/>
        <w:ind w:firstLine="420"/>
      </w:pPr>
      <w:r>
        <w:rPr>
          <w:rFonts w:ascii="Arial Unicode MS" w:hAnsi="Arial Unicode MS" w:eastAsia="Arial Unicode MS"/>
          <w:b w:val="0"/>
          <w:color w:val="1D2129"/>
          <w:sz w:val="21"/>
        </w:rPr>
        <w:t>主流程从文件接入开始。系统首先对文件类型、完整性、重复性和压缩包可用性进行预检；通过后完成表头、字段和数据区域识别，并结合门店、经销商和产品主数据进行匹配。规则校验和AI辅助判断生成质检结果；异常进入人工处置或驳回流程，通过复核的数据写入标准POS台账并用于分析与导出。</w:t>
      </w:r>
    </w:p>
    <w:p>
      <w:pPr>
        <w:pStyle w:val="Heading2"/>
      </w:pPr>
      <w:r>
        <w:t>2.4 角色与职责</w:t>
      </w:r>
    </w:p>
    <w:tbl>
      <w:tblPr>
        <w:tblStyle w:val="TableGrid"/>
        <w:tblW w:type="dxa" w:w="9468"/>
        <w:jc w:val="center"/>
        <w:tblLayout w:type="fixed"/>
        <w:tblLook w:firstColumn="1" w:firstRow="1" w:lastColumn="0" w:lastRow="0" w:noHBand="0" w:noVBand="1" w:val="04A0"/>
      </w:tblPr>
      <w:tblGrid>
        <w:gridCol w:w="1701"/>
        <w:gridCol w:w="4309"/>
        <w:gridCol w:w="3458"/>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角色</w:t>
            </w:r>
          </w:p>
        </w:tc>
        <w:tc>
          <w:tcPr>
            <w:tcW w:type="dxa" w:w="430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主要职责</w:t>
            </w:r>
          </w:p>
        </w:tc>
        <w:tc>
          <w:tcPr>
            <w:tcW w:type="dxa" w:w="345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典型权限范围</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POS担当</w:t>
            </w:r>
          </w:p>
        </w:tc>
        <w:tc>
          <w:tcPr>
            <w:tcW w:type="dxa" w:w="430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统筹收取、处理、质检、复核、台账和跨区域问题</w:t>
            </w:r>
          </w:p>
        </w:tc>
        <w:tc>
          <w:tcPr>
            <w:tcW w:type="dxa" w:w="345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全部或指定组织数据；关键处理与审批权限</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营业担当</w:t>
            </w:r>
          </w:p>
        </w:tc>
        <w:tc>
          <w:tcPr>
            <w:tcW w:type="dxa" w:w="430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补充门店/经销商信息，处理被分派或被驳回的问题</w:t>
            </w:r>
          </w:p>
        </w:tc>
        <w:tc>
          <w:tcPr>
            <w:tcW w:type="dxa" w:w="345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所属Team/区域/营业所及下属数据</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区域/营业所管理者</w:t>
            </w:r>
          </w:p>
        </w:tc>
        <w:tc>
          <w:tcPr>
            <w:tcW w:type="dxa" w:w="430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查看进度、质量和提交监控，推动问题闭环</w:t>
            </w:r>
          </w:p>
        </w:tc>
        <w:tc>
          <w:tcPr>
            <w:tcW w:type="dxa" w:w="345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所辖组织数据的查看与导出</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系统管理员</w:t>
            </w:r>
          </w:p>
        </w:tc>
        <w:tc>
          <w:tcPr>
            <w:tcW w:type="dxa" w:w="430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用户、角色、字段配置、日志与基础运维</w:t>
            </w:r>
          </w:p>
        </w:tc>
        <w:tc>
          <w:tcPr>
            <w:tcW w:type="dxa" w:w="345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系统设置与全局审计权限</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审计/只读用户</w:t>
            </w:r>
          </w:p>
        </w:tc>
        <w:tc>
          <w:tcPr>
            <w:tcW w:type="dxa" w:w="430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查看台账、质量记录和操作日志</w:t>
            </w:r>
          </w:p>
        </w:tc>
        <w:tc>
          <w:tcPr>
            <w:tcW w:type="dxa" w:w="345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受控只读范围</w:t>
            </w:r>
          </w:p>
        </w:tc>
      </w:tr>
    </w:tbl>
    <w:p>
      <w:pPr>
        <w:spacing w:after="20"/>
      </w:pPr>
    </w:p>
    <w:p>
      <w:pPr>
        <w:pStyle w:val="Heading2"/>
      </w:pPr>
      <w:r>
        <w:t>2.5 逻辑技术架构</w:t>
      </w:r>
    </w:p>
    <w:tbl>
      <w:tblPr>
        <w:tblStyle w:val="TableGrid"/>
        <w:tblW w:type="dxa" w:w="9468"/>
        <w:jc w:val="center"/>
        <w:tblLayout w:type="fixed"/>
        <w:tblLook w:firstColumn="1" w:firstRow="1" w:lastColumn="0" w:lastRow="0" w:noHBand="0" w:noVBand="1" w:val="04A0"/>
      </w:tblPr>
      <w:tblGrid>
        <w:gridCol w:w="1360"/>
        <w:gridCol w:w="3005"/>
        <w:gridCol w:w="5103"/>
      </w:tblGrid>
      <w:tr>
        <w:trPr>
          <w:tblHeader w:val="true"/>
          <w:cantSplit w:val="true"/>
        </w:trPr>
        <w:tc>
          <w:tcPr>
            <w:tcW w:type="dxa" w:w="1360"/>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架构层</w:t>
            </w:r>
          </w:p>
        </w:tc>
        <w:tc>
          <w:tcPr>
            <w:tcW w:type="dxa" w:w="300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组成</w:t>
            </w:r>
          </w:p>
        </w:tc>
        <w:tc>
          <w:tcPr>
            <w:tcW w:type="dxa" w:w="5103"/>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一阶段设计要点</w:t>
            </w:r>
          </w:p>
        </w:tc>
      </w:tr>
      <w:tr>
        <w:trPr>
          <w:cantSplit w:val="true"/>
        </w:trPr>
        <w:tc>
          <w:tcPr>
            <w:tcW w:type="dxa" w:w="1360"/>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展现层</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桌面Web、响应式页面、中韩文资源</w:t>
            </w:r>
          </w:p>
        </w:tc>
        <w:tc>
          <w:tcPr>
            <w:tcW w:type="dxa" w:w="5103"/>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统一导航、筛选、表格、详情抽屉、对话框与状态提示</w:t>
            </w:r>
          </w:p>
        </w:tc>
      </w:tr>
      <w:tr>
        <w:trPr>
          <w:cantSplit w:val="true"/>
        </w:trPr>
        <w:tc>
          <w:tcPr>
            <w:tcW w:type="dxa" w:w="1360"/>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应用层</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收件、解析、匹配、质检、工作流、台账、分析、权限</w:t>
            </w:r>
          </w:p>
        </w:tc>
        <w:tc>
          <w:tcPr>
            <w:tcW w:type="dxa" w:w="5103"/>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模块解耦，状态驱动，支持批量操作</w:t>
            </w:r>
          </w:p>
        </w:tc>
      </w:tr>
      <w:tr>
        <w:trPr>
          <w:cantSplit w:val="true"/>
        </w:trPr>
        <w:tc>
          <w:tcPr>
            <w:tcW w:type="dxa" w:w="1360"/>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智能/自动化层</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OCR/表格识别、字段映射、相似匹配、规则引擎、RPA任务</w:t>
            </w:r>
          </w:p>
        </w:tc>
        <w:tc>
          <w:tcPr>
            <w:tcW w:type="dxa" w:w="5103"/>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输出置信度、原因和建议，关键节点可人工接管</w:t>
            </w:r>
          </w:p>
        </w:tc>
      </w:tr>
      <w:tr>
        <w:trPr>
          <w:cantSplit w:val="true"/>
        </w:trPr>
        <w:tc>
          <w:tcPr>
            <w:tcW w:type="dxa" w:w="1360"/>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数据层</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文件存储、业务库、规则配置、日志、分析视图</w:t>
            </w:r>
          </w:p>
        </w:tc>
        <w:tc>
          <w:tcPr>
            <w:tcW w:type="dxa" w:w="5103"/>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原始与标准分层，版本可追溯，逻辑删除/归档</w:t>
            </w:r>
          </w:p>
        </w:tc>
      </w:tr>
      <w:tr>
        <w:trPr>
          <w:cantSplit w:val="true"/>
        </w:trPr>
        <w:tc>
          <w:tcPr>
            <w:tcW w:type="dxa" w:w="1360"/>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集成层</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邮件/上传入口、外部主数据、导出接口（预留）</w:t>
            </w:r>
          </w:p>
        </w:tc>
        <w:tc>
          <w:tcPr>
            <w:tcW w:type="dxa" w:w="5103"/>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接口鉴权、幂等、失败重试和任务监控</w:t>
            </w:r>
          </w:p>
        </w:tc>
      </w:tr>
      <w:tr>
        <w:trPr>
          <w:cantSplit w:val="true"/>
        </w:trPr>
        <w:tc>
          <w:tcPr>
            <w:tcW w:type="dxa" w:w="1360"/>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安全运维层</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身份认证、RBAC、数据权限、审计、监控、备份</w:t>
            </w:r>
          </w:p>
        </w:tc>
        <w:tc>
          <w:tcPr>
            <w:tcW w:type="dxa" w:w="5103"/>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最小权限、敏感操作留痕、异常告警</w:t>
            </w:r>
          </w:p>
        </w:tc>
      </w:tr>
    </w:tbl>
    <w:p>
      <w:pPr>
        <w:spacing w:after="20"/>
      </w:pPr>
    </w:p>
    <w:p>
      <w:r>
        <w:br w:type="page"/>
      </w:r>
    </w:p>
    <w:p>
      <w:pPr>
        <w:pStyle w:val="Heading1"/>
      </w:pPr>
      <w:r>
        <w:t>3. 数据接入与自动处理蓝图</w:t>
      </w:r>
    </w:p>
    <w:p>
      <w:pPr>
        <w:pStyle w:val="Heading2"/>
      </w:pPr>
      <w:r>
        <w:t>3.1 数据来源与接入方式</w:t>
      </w:r>
    </w:p>
    <w:tbl>
      <w:tblPr>
        <w:tblStyle w:val="TableGrid"/>
        <w:tblW w:type="dxa" w:w="9468"/>
        <w:jc w:val="center"/>
        <w:tblLayout w:type="fixed"/>
        <w:tblLook w:firstColumn="1" w:firstRow="1" w:lastColumn="0" w:lastRow="0" w:noHBand="0" w:noVBand="1" w:val="04A0"/>
      </w:tblPr>
      <w:tblGrid>
        <w:gridCol w:w="1701"/>
        <w:gridCol w:w="2268"/>
        <w:gridCol w:w="3402"/>
        <w:gridCol w:w="2097"/>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来源</w:t>
            </w:r>
          </w:p>
        </w:tc>
        <w:tc>
          <w:tcPr>
            <w:tcW w:type="dxa" w:w="226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接入方式</w:t>
            </w:r>
          </w:p>
        </w:tc>
        <w:tc>
          <w:tcPr>
            <w:tcW w:type="dxa" w:w="340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一阶段处理</w:t>
            </w:r>
          </w:p>
        </w:tc>
        <w:tc>
          <w:tcPr>
            <w:tcW w:type="dxa" w:w="209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边界/依赖</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业务/合作方邮件</w:t>
            </w:r>
          </w:p>
        </w:tc>
        <w:tc>
          <w:tcPr>
            <w:tcW w:type="dxa" w:w="226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收件箱同步或人工下载后上传</w:t>
            </w:r>
          </w:p>
        </w:tc>
        <w:tc>
          <w:tcPr>
            <w:tcW w:type="dxa" w:w="340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记录来源、主题、时间、附件与处理状态</w:t>
            </w:r>
          </w:p>
        </w:tc>
        <w:tc>
          <w:tcPr>
            <w:tcW w:type="dxa" w:w="2097"/>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邮件连接方式和账号安全策略待确认</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人工上传</w:t>
            </w:r>
          </w:p>
        </w:tc>
        <w:tc>
          <w:tcPr>
            <w:tcW w:type="dxa" w:w="226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平台文件箱上传</w:t>
            </w:r>
          </w:p>
        </w:tc>
        <w:tc>
          <w:tcPr>
            <w:tcW w:type="dxa" w:w="340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支持单文件、批量文件和压缩包</w:t>
            </w:r>
          </w:p>
        </w:tc>
        <w:tc>
          <w:tcPr>
            <w:tcW w:type="dxa" w:w="209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单文件大小及批量上限待确认</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历史存量</w:t>
            </w:r>
          </w:p>
        </w:tc>
        <w:tc>
          <w:tcPr>
            <w:tcW w:type="dxa" w:w="226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按批次导入</w:t>
            </w:r>
          </w:p>
        </w:tc>
        <w:tc>
          <w:tcPr>
            <w:tcW w:type="dxa" w:w="340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预检、去重、解析、质检后入账</w:t>
            </w:r>
          </w:p>
        </w:tc>
        <w:tc>
          <w:tcPr>
            <w:tcW w:type="dxa" w:w="2097"/>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需提供样本与历史口径</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外部系统</w:t>
            </w:r>
          </w:p>
        </w:tc>
        <w:tc>
          <w:tcPr>
            <w:tcW w:type="dxa" w:w="226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接口/文件交换（预留）</w:t>
            </w:r>
          </w:p>
        </w:tc>
        <w:tc>
          <w:tcPr>
            <w:tcW w:type="dxa" w:w="340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一阶段完成接口边界和扩展点</w:t>
            </w:r>
          </w:p>
        </w:tc>
        <w:tc>
          <w:tcPr>
            <w:tcW w:type="dxa" w:w="209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是否实施实时接口需单独确认</w:t>
            </w:r>
          </w:p>
        </w:tc>
      </w:tr>
    </w:tbl>
    <w:p>
      <w:pPr>
        <w:spacing w:after="20"/>
      </w:pPr>
    </w:p>
    <w:p>
      <w:pPr>
        <w:pStyle w:val="Heading2"/>
      </w:pPr>
      <w:r>
        <w:t>3.2 支持文件与预检</w:t>
      </w:r>
    </w:p>
    <w:p>
      <w:pPr>
        <w:pStyle w:val="ListBullet"/>
        <w:spacing w:after="60"/>
        <w:ind w:left="425" w:hanging="198"/>
      </w:pPr>
      <w:r>
        <w:rPr>
          <w:rFonts w:ascii="Arial Unicode MS" w:hAnsi="Arial Unicode MS" w:eastAsia="Arial Unicode MS"/>
          <w:b w:val="0"/>
          <w:color w:val="1D2129"/>
          <w:sz w:val="21"/>
        </w:rPr>
        <w:t>结构化文件：XLSX、XLS、CSV；根据模板识别表头、数据区、合并单元格和多工作表。</w:t>
      </w:r>
    </w:p>
    <w:p>
      <w:pPr>
        <w:pStyle w:val="ListBullet"/>
        <w:spacing w:after="60"/>
        <w:ind w:left="425" w:hanging="198"/>
      </w:pPr>
      <w:r>
        <w:rPr>
          <w:rFonts w:ascii="Arial Unicode MS" w:hAnsi="Arial Unicode MS" w:eastAsia="Arial Unicode MS"/>
          <w:b w:val="0"/>
          <w:color w:val="1D2129"/>
          <w:sz w:val="21"/>
        </w:rPr>
        <w:t>非结构化/半结构化文件：PDF；优先识别可提取表格，扫描件是否启用OCR由样本验证决定。</w:t>
      </w:r>
    </w:p>
    <w:p>
      <w:pPr>
        <w:pStyle w:val="ListBullet"/>
        <w:spacing w:after="60"/>
        <w:ind w:left="425" w:hanging="198"/>
      </w:pPr>
      <w:r>
        <w:rPr>
          <w:rFonts w:ascii="Arial Unicode MS" w:hAnsi="Arial Unicode MS" w:eastAsia="Arial Unicode MS"/>
          <w:b w:val="0"/>
          <w:color w:val="1D2129"/>
          <w:sz w:val="21"/>
        </w:rPr>
        <w:t>压缩文件：ZIP；记录解压结果、内部子文件、损坏或加密异常，并支持部分驳回。</w:t>
      </w:r>
    </w:p>
    <w:p>
      <w:pPr>
        <w:pStyle w:val="ListBullet"/>
        <w:spacing w:after="60"/>
        <w:ind w:left="425" w:hanging="198"/>
      </w:pPr>
      <w:r>
        <w:rPr>
          <w:rFonts w:ascii="Arial Unicode MS" w:hAnsi="Arial Unicode MS" w:eastAsia="Arial Unicode MS"/>
          <w:b w:val="0"/>
          <w:color w:val="1D2129"/>
          <w:sz w:val="21"/>
        </w:rPr>
        <w:t>预检项：扩展名、MIME类型、大小、空文件、重复文件、文件损坏、加密、宏风险和病毒扫描（部署环境支持时）。</w:t>
      </w:r>
    </w:p>
    <w:p>
      <w:pPr>
        <w:pStyle w:val="Heading2"/>
      </w:pPr>
      <w:r>
        <w:t>3.3 自动化处理链路</w:t>
      </w:r>
    </w:p>
    <w:p>
      <w:pPr>
        <w:numPr>
          <w:ilvl w:val="0"/>
          <w:numId w:val="10"/>
        </w:numPr>
        <w:spacing w:after="60"/>
        <w:ind w:left="425" w:hanging="198"/>
      </w:pPr>
      <w:r>
        <w:rPr>
          <w:rFonts w:ascii="Arial Unicode MS" w:hAnsi="Arial Unicode MS" w:eastAsia="Arial Unicode MS"/>
          <w:b w:val="0"/>
          <w:color w:val="1D2129"/>
          <w:sz w:val="21"/>
        </w:rPr>
        <w:t>文件登记：生成唯一单据号，保存原始文件、来源、年月、提交人和组织归属。</w:t>
      </w:r>
    </w:p>
    <w:p>
      <w:pPr>
        <w:numPr>
          <w:ilvl w:val="0"/>
          <w:numId w:val="10"/>
        </w:numPr>
        <w:spacing w:after="60"/>
        <w:ind w:left="425" w:hanging="198"/>
      </w:pPr>
      <w:r>
        <w:rPr>
          <w:rFonts w:ascii="Arial Unicode MS" w:hAnsi="Arial Unicode MS" w:eastAsia="Arial Unicode MS"/>
          <w:b w:val="0"/>
          <w:color w:val="1D2129"/>
          <w:sz w:val="21"/>
        </w:rPr>
        <w:t>预检与去重：计算文件指纹，识别重复附件并提供覆盖、忽略或保留新版本的处置选项。</w:t>
      </w:r>
    </w:p>
    <w:p>
      <w:pPr>
        <w:numPr>
          <w:ilvl w:val="0"/>
          <w:numId w:val="10"/>
        </w:numPr>
        <w:spacing w:after="60"/>
        <w:ind w:left="425" w:hanging="198"/>
      </w:pPr>
      <w:r>
        <w:rPr>
          <w:rFonts w:ascii="Arial Unicode MS" w:hAnsi="Arial Unicode MS" w:eastAsia="Arial Unicode MS"/>
          <w:b w:val="0"/>
          <w:color w:val="1D2129"/>
          <w:sz w:val="21"/>
        </w:rPr>
        <w:t>拆包与拆表：解压ZIP，识别工作表和门店边界，必要时拆分为单门店处理单元。</w:t>
      </w:r>
    </w:p>
    <w:p>
      <w:pPr>
        <w:numPr>
          <w:ilvl w:val="0"/>
          <w:numId w:val="10"/>
        </w:numPr>
        <w:spacing w:after="60"/>
        <w:ind w:left="425" w:hanging="198"/>
      </w:pPr>
      <w:r>
        <w:rPr>
          <w:rFonts w:ascii="Arial Unicode MS" w:hAnsi="Arial Unicode MS" w:eastAsia="Arial Unicode MS"/>
          <w:b w:val="0"/>
          <w:color w:val="1D2129"/>
          <w:sz w:val="21"/>
        </w:rPr>
        <w:t>结构解析：识别表头、字段别名、数据起始行、合计行和空行，生成结构化结果。</w:t>
      </w:r>
    </w:p>
    <w:p>
      <w:pPr>
        <w:numPr>
          <w:ilvl w:val="0"/>
          <w:numId w:val="10"/>
        </w:numPr>
        <w:spacing w:after="60"/>
        <w:ind w:left="425" w:hanging="198"/>
      </w:pPr>
      <w:r>
        <w:rPr>
          <w:rFonts w:ascii="Arial Unicode MS" w:hAnsi="Arial Unicode MS" w:eastAsia="Arial Unicode MS"/>
          <w:b w:val="0"/>
          <w:color w:val="1D2129"/>
          <w:sz w:val="21"/>
        </w:rPr>
        <w:t>标准映射：将客户字段映射到标准字段，将客户门店/交易处映射到好丽友标准主数据。</w:t>
      </w:r>
    </w:p>
    <w:p>
      <w:pPr>
        <w:numPr>
          <w:ilvl w:val="0"/>
          <w:numId w:val="10"/>
        </w:numPr>
        <w:spacing w:after="60"/>
        <w:ind w:left="425" w:hanging="198"/>
      </w:pPr>
      <w:r>
        <w:rPr>
          <w:rFonts w:ascii="Arial Unicode MS" w:hAnsi="Arial Unicode MS" w:eastAsia="Arial Unicode MS"/>
          <w:b w:val="0"/>
          <w:color w:val="1D2129"/>
          <w:sz w:val="21"/>
        </w:rPr>
        <w:t>质量校验：执行必填、格式、范围、重复、主数据、一致性和业务逻辑规则。</w:t>
      </w:r>
    </w:p>
    <w:p>
      <w:pPr>
        <w:numPr>
          <w:ilvl w:val="0"/>
          <w:numId w:val="10"/>
        </w:numPr>
        <w:spacing w:after="60"/>
        <w:ind w:left="425" w:hanging="198"/>
      </w:pPr>
      <w:r>
        <w:rPr>
          <w:rFonts w:ascii="Arial Unicode MS" w:hAnsi="Arial Unicode MS" w:eastAsia="Arial Unicode MS"/>
          <w:b w:val="0"/>
          <w:color w:val="1D2129"/>
          <w:sz w:val="21"/>
        </w:rPr>
        <w:t>人机协同：自动通过高置信度且无异常的数据；低置信度或有异常的数据进入人工工作台。</w:t>
      </w:r>
    </w:p>
    <w:p>
      <w:pPr>
        <w:numPr>
          <w:ilvl w:val="0"/>
          <w:numId w:val="10"/>
        </w:numPr>
        <w:spacing w:after="60"/>
        <w:ind w:left="425" w:hanging="198"/>
      </w:pPr>
      <w:r>
        <w:rPr>
          <w:rFonts w:ascii="Arial Unicode MS" w:hAnsi="Arial Unicode MS" w:eastAsia="Arial Unicode MS"/>
          <w:b w:val="0"/>
          <w:color w:val="1D2129"/>
          <w:sz w:val="21"/>
        </w:rPr>
        <w:t>复核与入账：人工修改保留前后值和原因；通过后写入标准POS明细并生成处理日志。</w:t>
      </w:r>
    </w:p>
    <w:p>
      <w:pPr>
        <w:pStyle w:val="Heading2"/>
      </w:pPr>
      <w:r>
        <w:t>3.4 异常及重复文件处置</w:t>
      </w:r>
    </w:p>
    <w:tbl>
      <w:tblPr>
        <w:tblStyle w:val="TableGrid"/>
        <w:tblW w:type="dxa" w:w="9468"/>
        <w:jc w:val="center"/>
        <w:tblLayout w:type="fixed"/>
        <w:tblLook w:firstColumn="1" w:firstRow="1" w:lastColumn="0" w:lastRow="0" w:noHBand="0" w:noVBand="1" w:val="04A0"/>
      </w:tblPr>
      <w:tblGrid>
        <w:gridCol w:w="1701"/>
        <w:gridCol w:w="2381"/>
        <w:gridCol w:w="2721"/>
        <w:gridCol w:w="2664"/>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场景</w:t>
            </w:r>
          </w:p>
        </w:tc>
        <w:tc>
          <w:tcPr>
            <w:tcW w:type="dxa" w:w="238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系统识别</w:t>
            </w:r>
          </w:p>
        </w:tc>
        <w:tc>
          <w:tcPr>
            <w:tcW w:type="dxa" w:w="272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可选处置</w:t>
            </w:r>
          </w:p>
        </w:tc>
        <w:tc>
          <w:tcPr>
            <w:tcW w:type="dxa" w:w="266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留痕要求</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同名同内容</w:t>
            </w:r>
          </w:p>
        </w:tc>
        <w:tc>
          <w:tcPr>
            <w:tcW w:type="dxa" w:w="238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文件名+指纹一致</w:t>
            </w:r>
          </w:p>
        </w:tc>
        <w:tc>
          <w:tcPr>
            <w:tcW w:type="dxa" w:w="272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忽略、查看历史</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原单据号、重复时间、操作者</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同名不同内容</w:t>
            </w:r>
          </w:p>
        </w:tc>
        <w:tc>
          <w:tcPr>
            <w:tcW w:type="dxa" w:w="238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文件名一致、指纹不同</w:t>
            </w:r>
          </w:p>
        </w:tc>
        <w:tc>
          <w:tcPr>
            <w:tcW w:type="dxa" w:w="272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作为新版本、覆盖（受权限控制）</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版本链与差异说明</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压缩包损坏/加密</w:t>
            </w:r>
          </w:p>
        </w:tc>
        <w:tc>
          <w:tcPr>
            <w:tcW w:type="dxa" w:w="238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无法解压或读取</w:t>
            </w:r>
          </w:p>
        </w:tc>
        <w:tc>
          <w:tcPr>
            <w:tcW w:type="dxa" w:w="272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整体驳回</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错误原因、原文件保留</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压缩包部分异常</w:t>
            </w:r>
          </w:p>
        </w:tc>
        <w:tc>
          <w:tcPr>
            <w:tcW w:type="dxa" w:w="238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部分子文件失败</w:t>
            </w:r>
          </w:p>
        </w:tc>
        <w:tc>
          <w:tcPr>
            <w:tcW w:type="dxa" w:w="272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部分驳回、正常子文件继续</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子文件级状态</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非POS文件</w:t>
            </w:r>
          </w:p>
        </w:tc>
        <w:tc>
          <w:tcPr>
            <w:tcW w:type="dxa" w:w="238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内容/结构不符合POS规则</w:t>
            </w:r>
          </w:p>
        </w:tc>
        <w:tc>
          <w:tcPr>
            <w:tcW w:type="dxa" w:w="272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归档为非POS、删除（受权限控制）</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分类原因和操作日志</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字段/主数据异常</w:t>
            </w:r>
          </w:p>
        </w:tc>
        <w:tc>
          <w:tcPr>
            <w:tcW w:type="dxa" w:w="238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缺失、格式错误或无法匹配</w:t>
            </w:r>
          </w:p>
        </w:tc>
        <w:tc>
          <w:tcPr>
            <w:tcW w:type="dxa" w:w="272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修改、分派、驳回、提交复核</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前后值、处理意见、责任人</w:t>
            </w:r>
          </w:p>
        </w:tc>
      </w:tr>
    </w:tbl>
    <w:p>
      <w:pPr>
        <w:spacing w:after="20"/>
      </w:pPr>
    </w:p>
    <w:p>
      <w:pPr>
        <w:pStyle w:val="Heading2"/>
      </w:pPr>
      <w:r>
        <w:t>3.5 AI与RPA使用边界</w:t>
      </w:r>
    </w:p>
    <w:tbl>
      <w:tblPr>
        <w:tblW w:type="dxa" w:w="9468"/>
        <w:tblLayout w:type="fixed"/>
        <w:tblLook w:firstColumn="1" w:firstRow="1" w:lastColumn="0" w:lastRow="0" w:noHBand="0" w:noVBand="1" w:val="04A0"/>
      </w:tblPr>
      <w:tblGrid>
        <w:gridCol w:w="9468"/>
      </w:tblGrid>
      <w:tr>
        <w:tc>
          <w:tcPr>
            <w:tcW w:type="dxa" w:w="9468"/>
            <w:shd w:fill="EAF3FF"/>
            <w:tcMar>
              <w:top w:w="140" w:type="dxa"/>
              <w:start w:w="180" w:type="dxa"/>
              <w:bottom w:w="140" w:type="dxa"/>
              <w:end w:w="180" w:type="dxa"/>
            </w:tcMar>
          </w:tcPr>
          <w:p>
            <w:r>
              <w:rPr>
                <w:rFonts w:ascii="Arial Unicode MS" w:hAnsi="Arial Unicode MS" w:eastAsia="Arial Unicode MS"/>
                <w:b/>
                <w:color w:val="155EEF"/>
                <w:sz w:val="21"/>
              </w:rPr>
              <w:t>控制原则：</w:t>
            </w:r>
            <w:r>
              <w:rPr>
                <w:rFonts w:ascii="Arial Unicode MS" w:hAnsi="Arial Unicode MS" w:eastAsia="Arial Unicode MS"/>
                <w:b w:val="0"/>
                <w:color w:val="1D2129"/>
                <w:sz w:val="21"/>
              </w:rPr>
              <w:t>AI输出必须包含置信度或异常原因，不能在无审计记录的情况下改写原始文件；关键字段、低置信度匹配和跨主数据冲突必须由授权人员复核。</w:t>
            </w:r>
          </w:p>
        </w:tc>
      </w:tr>
    </w:tbl>
    <w:p>
      <w:pPr>
        <w:spacing w:after="20"/>
      </w:pPr>
    </w:p>
    <w:tbl>
      <w:tblPr>
        <w:tblStyle w:val="TableGrid"/>
        <w:tblW w:type="dxa" w:w="9468"/>
        <w:jc w:val="center"/>
        <w:tblLayout w:type="fixed"/>
        <w:tblLook w:firstColumn="1" w:firstRow="1" w:lastColumn="0" w:lastRow="0" w:noHBand="0" w:noVBand="1" w:val="04A0"/>
      </w:tblPr>
      <w:tblGrid>
        <w:gridCol w:w="1814"/>
        <w:gridCol w:w="3798"/>
        <w:gridCol w:w="3855"/>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能力</w:t>
            </w:r>
          </w:p>
        </w:tc>
        <w:tc>
          <w:tcPr>
            <w:tcW w:type="dxa" w:w="379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适合自动化</w:t>
            </w:r>
          </w:p>
        </w:tc>
        <w:tc>
          <w:tcPr>
            <w:tcW w:type="dxa" w:w="385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需人工确认</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文件处理</w:t>
            </w:r>
          </w:p>
        </w:tc>
        <w:tc>
          <w:tcPr>
            <w:tcW w:type="dxa" w:w="379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收取、登记、解压、拆表、格式预检</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加密文件、损坏文件、异常模板</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字段识别</w:t>
            </w:r>
          </w:p>
        </w:tc>
        <w:tc>
          <w:tcPr>
            <w:tcW w:type="dxa" w:w="379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已知别名和稳定模板映射</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新模板、歧义表头、合并区域</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门店匹配</w:t>
            </w:r>
          </w:p>
        </w:tc>
        <w:tc>
          <w:tcPr>
            <w:tcW w:type="dxa" w:w="379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编码精确匹配、高置信度组合匹配</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一码多店、名称相似但主体不同</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质量校验</w:t>
            </w:r>
          </w:p>
        </w:tc>
        <w:tc>
          <w:tcPr>
            <w:tcW w:type="dxa" w:w="379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确定性规则、重复和格式检查</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业务合理性、例外政策</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结果放行</w:t>
            </w:r>
          </w:p>
        </w:tc>
        <w:tc>
          <w:tcPr>
            <w:tcW w:type="dxa" w:w="379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规则确认允许的高置信度批次</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关键异常、批量修改、驳回和删除</w:t>
            </w:r>
          </w:p>
        </w:tc>
      </w:tr>
    </w:tbl>
    <w:p>
      <w:pPr>
        <w:spacing w:after="20"/>
      </w:pPr>
    </w:p>
    <w:p>
      <w:r>
        <w:br w:type="page"/>
      </w:r>
    </w:p>
    <w:p>
      <w:pPr>
        <w:pStyle w:val="Heading1"/>
      </w:pPr>
      <w:r>
        <w:t>4. 业务应用蓝图方案</w:t>
      </w:r>
    </w:p>
    <w:p>
      <w:pPr>
        <w:pStyle w:val="Heading2"/>
      </w:pPr>
      <w:r>
        <w:t>4.1 首页概览</w:t>
      </w:r>
    </w:p>
    <w:p>
      <w:pPr>
        <w:spacing w:line="360" w:lineRule="auto"/>
        <w:ind w:firstLine="420"/>
      </w:pPr>
      <w:r>
        <w:rPr>
          <w:rFonts w:ascii="Arial Unicode MS" w:hAnsi="Arial Unicode MS" w:eastAsia="Arial Unicode MS"/>
          <w:b w:val="0"/>
          <w:color w:val="1D2129"/>
          <w:sz w:val="21"/>
        </w:rPr>
        <w:t>首页作为管理驾驶舱，按全局年月和用户组织权限展示平台总体规模、文件收取进度与质量检查进度，并提供到台账、文件收取和质量检查模块的快捷入口。</w:t>
      </w:r>
    </w:p>
    <w:tbl>
      <w:tblPr>
        <w:tblStyle w:val="TableGrid"/>
        <w:tblW w:type="dxa" w:w="9468"/>
        <w:jc w:val="center"/>
        <w:tblLayout w:type="fixed"/>
        <w:tblLook w:firstColumn="1" w:firstRow="1" w:lastColumn="0" w:lastRow="0" w:noHBand="0" w:noVBand="1" w:val="04A0"/>
      </w:tblPr>
      <w:tblGrid>
        <w:gridCol w:w="1814"/>
        <w:gridCol w:w="4195"/>
        <w:gridCol w:w="3458"/>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功能区</w:t>
            </w:r>
          </w:p>
        </w:tc>
        <w:tc>
          <w:tcPr>
            <w:tcW w:type="dxa" w:w="419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指标/内容</w:t>
            </w:r>
          </w:p>
        </w:tc>
        <w:tc>
          <w:tcPr>
            <w:tcW w:type="dxa" w:w="345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交互要求</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平台总览</w:t>
            </w:r>
          </w:p>
        </w:tc>
        <w:tc>
          <w:tcPr>
            <w:tcW w:type="dxa" w:w="419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POS明细总数、各区域明细总数</w:t>
            </w:r>
          </w:p>
        </w:tc>
        <w:tc>
          <w:tcPr>
            <w:tcW w:type="dxa" w:w="345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按年月与组织范围联动；可进入台账</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文件收取</w:t>
            </w:r>
          </w:p>
        </w:tc>
        <w:tc>
          <w:tcPr>
            <w:tcW w:type="dxa" w:w="419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应收文件、已收文件、异常文件、收取率、区域进度</w:t>
            </w:r>
          </w:p>
        </w:tc>
        <w:tc>
          <w:tcPr>
            <w:tcW w:type="dxa" w:w="345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点击区域可查看门店/文件明细</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质量检查</w:t>
            </w:r>
          </w:p>
        </w:tc>
        <w:tc>
          <w:tcPr>
            <w:tcW w:type="dxa" w:w="419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应检门店、通过门店、异常门店、通过率、区域校验量</w:t>
            </w:r>
          </w:p>
        </w:tc>
        <w:tc>
          <w:tcPr>
            <w:tcW w:type="dxa" w:w="345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点击区域可查看门店质检明细</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状态与更新时间</w:t>
            </w:r>
          </w:p>
        </w:tc>
        <w:tc>
          <w:tcPr>
            <w:tcW w:type="dxa" w:w="419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当前Team、数据状态、最后更新时间</w:t>
            </w:r>
          </w:p>
        </w:tc>
        <w:tc>
          <w:tcPr>
            <w:tcW w:type="dxa" w:w="345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全局一致、刷新可追踪</w:t>
            </w:r>
          </w:p>
        </w:tc>
      </w:tr>
    </w:tbl>
    <w:p>
      <w:pPr>
        <w:spacing w:after="20"/>
      </w:pPr>
    </w:p>
    <w:p>
      <w:pPr>
        <w:pStyle w:val="Heading2"/>
      </w:pPr>
      <w:r>
        <w:t>4.2 文件收取</w:t>
      </w:r>
    </w:p>
    <w:p>
      <w:pPr>
        <w:spacing w:line="360" w:lineRule="auto"/>
        <w:ind w:firstLine="420"/>
      </w:pPr>
      <w:r>
        <w:rPr>
          <w:rFonts w:ascii="Arial Unicode MS" w:hAnsi="Arial Unicode MS" w:eastAsia="Arial Unicode MS"/>
          <w:b w:val="0"/>
          <w:color w:val="1D2129"/>
          <w:sz w:val="21"/>
        </w:rPr>
        <w:t>文件收取模块承担原始文件接入、附件预检、解析结果查看、已匹配/未匹配数据处置以及跨角色流转，是第一阶段的业务入口。</w:t>
      </w:r>
    </w:p>
    <w:tbl>
      <w:tblPr>
        <w:tblStyle w:val="TableGrid"/>
        <w:tblW w:type="dxa" w:w="9468"/>
        <w:jc w:val="center"/>
        <w:tblLayout w:type="fixed"/>
        <w:tblLook w:firstColumn="1" w:firstRow="1" w:lastColumn="0" w:lastRow="0" w:noHBand="0" w:noVBand="1" w:val="04A0"/>
      </w:tblPr>
      <w:tblGrid>
        <w:gridCol w:w="1814"/>
        <w:gridCol w:w="4082"/>
        <w:gridCol w:w="3572"/>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子功能</w:t>
            </w:r>
          </w:p>
        </w:tc>
        <w:tc>
          <w:tcPr>
            <w:tcW w:type="dxa" w:w="408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核心内容</w:t>
            </w:r>
          </w:p>
        </w:tc>
        <w:tc>
          <w:tcPr>
            <w:tcW w:type="dxa" w:w="357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关键操作/规则</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文件箱</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来源、主题/文件名、附件、提交年月、收取时间、状态</w:t>
            </w:r>
          </w:p>
        </w:tc>
        <w:tc>
          <w:tcPr>
            <w:tcW w:type="dxa" w:w="357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上传、预览/下载、重复处理、单据详情、删除</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单门店已匹配数据</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已识别门店与标准主数据、解析摘要、质检状态</w:t>
            </w:r>
          </w:p>
        </w:tc>
        <w:tc>
          <w:tcPr>
            <w:tcW w:type="dxa" w:w="357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查看、编辑、发起质检、提交处理结果</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单门店未匹配数据</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缺失门店编码、名称不一致、交易处未登记等问题</w:t>
            </w:r>
          </w:p>
        </w:tc>
        <w:tc>
          <w:tcPr>
            <w:tcW w:type="dxa" w:w="357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补充编码、选择标准门店、校验、驳回、提交复核</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暂存/异常工作区</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解析异常、待补充和待协同记录</w:t>
            </w:r>
          </w:p>
        </w:tc>
        <w:tc>
          <w:tcPr>
            <w:tcW w:type="dxa" w:w="357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分派责任人、备注、继续处理</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归档</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非POS文件、已作废或历史版本</w:t>
            </w:r>
          </w:p>
        </w:tc>
        <w:tc>
          <w:tcPr>
            <w:tcW w:type="dxa" w:w="357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按权限查看、恢复或留存</w:t>
            </w:r>
          </w:p>
        </w:tc>
      </w:tr>
    </w:tbl>
    <w:p>
      <w:pPr>
        <w:spacing w:after="20"/>
      </w:pPr>
    </w:p>
    <w:p>
      <w:pPr>
        <w:pStyle w:val="Heading3"/>
      </w:pPr>
      <w:r>
        <w:t>4.2.1 文件收取状态与流转</w:t>
      </w:r>
    </w:p>
    <w:tbl>
      <w:tblPr>
        <w:tblStyle w:val="TableGrid"/>
        <w:tblW w:type="dxa" w:w="9468"/>
        <w:tblLayout w:type="fixed"/>
        <w:tblLook w:firstColumn="1" w:firstRow="1" w:lastColumn="0" w:lastRow="0" w:noHBand="0" w:noVBand="1" w:val="04A0"/>
      </w:tblPr>
      <w:tblGrid>
        <w:gridCol w:w="1893"/>
        <w:gridCol w:w="1893"/>
        <w:gridCol w:w="1893"/>
        <w:gridCol w:w="1893"/>
        <w:gridCol w:w="1893"/>
      </w:tblGrid>
      <w:tr>
        <w:tc>
          <w:tcPr>
            <w:tcW w:type="dxa" w:w="189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1</w:t>
              <w:br/>
              <w:t>待处理</w:t>
            </w:r>
          </w:p>
        </w:tc>
        <w:tc>
          <w:tcPr>
            <w:tcW w:type="dxa" w:w="189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2</w:t>
              <w:br/>
              <w:t>校验中</w:t>
            </w:r>
          </w:p>
        </w:tc>
        <w:tc>
          <w:tcPr>
            <w:tcW w:type="dxa" w:w="189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3</w:t>
              <w:br/>
              <w:t>待通过</w:t>
            </w:r>
          </w:p>
        </w:tc>
        <w:tc>
          <w:tcPr>
            <w:tcW w:type="dxa" w:w="1893"/>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4</w:t>
              <w:br/>
              <w:t>质检中</w:t>
            </w:r>
          </w:p>
        </w:tc>
        <w:tc>
          <w:tcPr>
            <w:tcW w:type="dxa" w:w="1893"/>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5</w:t>
              <w:br/>
              <w:t>已同步</w:t>
            </w:r>
          </w:p>
        </w:tc>
      </w:tr>
    </w:tbl>
    <w:p>
      <w:pPr>
        <w:spacing w:after="20"/>
      </w:pPr>
    </w:p>
    <w:p>
      <w:pPr>
        <w:spacing w:line="360" w:lineRule="auto"/>
        <w:ind w:firstLine="420"/>
      </w:pPr>
      <w:r>
        <w:rPr>
          <w:rFonts w:ascii="Arial Unicode MS" w:hAnsi="Arial Unicode MS" w:eastAsia="Arial Unicode MS"/>
          <w:b w:val="0"/>
          <w:color w:val="1D2129"/>
          <w:sz w:val="21"/>
        </w:rPr>
        <w:t>异常分支包括校验失败、POS担当待处理、营业担当处理中、部分驳回、整体驳回和作废。状态变更必须记录操作者、时间、处理意见和前后状态；同一单据不得在并发操作中被重复放行。</w:t>
      </w:r>
    </w:p>
    <w:p>
      <w:pPr>
        <w:pStyle w:val="Heading2"/>
      </w:pPr>
      <w:r>
        <w:t>4.3 质量检查</w:t>
      </w:r>
    </w:p>
    <w:tbl>
      <w:tblPr>
        <w:tblStyle w:val="TableGrid"/>
        <w:tblW w:type="dxa" w:w="9468"/>
        <w:jc w:val="center"/>
        <w:tblLayout w:type="fixed"/>
        <w:tblLook w:firstColumn="1" w:firstRow="1" w:lastColumn="0" w:lastRow="0" w:noHBand="0" w:noVBand="1" w:val="04A0"/>
      </w:tblPr>
      <w:tblGrid>
        <w:gridCol w:w="1814"/>
        <w:gridCol w:w="3969"/>
        <w:gridCol w:w="3685"/>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子功能</w:t>
            </w:r>
          </w:p>
        </w:tc>
        <w:tc>
          <w:tcPr>
            <w:tcW w:type="dxa" w:w="396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处理对象</w:t>
            </w:r>
          </w:p>
        </w:tc>
        <w:tc>
          <w:tcPr>
            <w:tcW w:type="dxa" w:w="368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操作与控制</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标准POS表</w:t>
            </w:r>
          </w:p>
        </w:tc>
        <w:tc>
          <w:tcPr>
            <w:tcW w:type="dxa" w:w="396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已完成结构化并进入标准字段口径的数据</w:t>
            </w:r>
          </w:p>
        </w:tc>
        <w:tc>
          <w:tcPr>
            <w:tcW w:type="dxa" w:w="368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查看、编辑、提交复核、通过、驳回、详情、删除</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异常数据</w:t>
            </w:r>
          </w:p>
        </w:tc>
        <w:tc>
          <w:tcPr>
            <w:tcW w:type="dxa" w:w="396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规则或AI识别出的字段/数据问题</w:t>
            </w:r>
          </w:p>
        </w:tc>
        <w:tc>
          <w:tcPr>
            <w:tcW w:type="dxa" w:w="368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定位异常字段、查看原因与建议、修改、提交复核、通过/驳回</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批量处理</w:t>
            </w:r>
          </w:p>
        </w:tc>
        <w:tc>
          <w:tcPr>
            <w:tcW w:type="dxa" w:w="396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同批次、同规则、同责任人的记录</w:t>
            </w:r>
          </w:p>
        </w:tc>
        <w:tc>
          <w:tcPr>
            <w:tcW w:type="dxa" w:w="368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批量通过/驳回前二次确认；部分失败需明确反馈</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修改记录</w:t>
            </w:r>
          </w:p>
        </w:tc>
        <w:tc>
          <w:tcPr>
            <w:tcW w:type="dxa" w:w="396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所有人工修正</w:t>
            </w:r>
          </w:p>
        </w:tc>
        <w:tc>
          <w:tcPr>
            <w:tcW w:type="dxa" w:w="368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保存原值、新值、原因、操作者与时间</w:t>
            </w:r>
          </w:p>
        </w:tc>
      </w:tr>
    </w:tbl>
    <w:p>
      <w:pPr>
        <w:spacing w:after="20"/>
      </w:pPr>
    </w:p>
    <w:p>
      <w:pPr>
        <w:pStyle w:val="Heading3"/>
      </w:pPr>
      <w:r>
        <w:t>4.3.1 一阶段质量规则</w:t>
      </w:r>
    </w:p>
    <w:tbl>
      <w:tblPr>
        <w:tblStyle w:val="TableGrid"/>
        <w:tblW w:type="dxa" w:w="9468"/>
        <w:jc w:val="center"/>
        <w:tblLayout w:type="fixed"/>
        <w:tblLook w:firstColumn="1" w:firstRow="1" w:lastColumn="0" w:lastRow="0" w:noHBand="0" w:noVBand="1" w:val="04A0"/>
      </w:tblPr>
      <w:tblGrid>
        <w:gridCol w:w="1701"/>
        <w:gridCol w:w="4649"/>
        <w:gridCol w:w="3118"/>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规则类别</w:t>
            </w:r>
          </w:p>
        </w:tc>
        <w:tc>
          <w:tcPr>
            <w:tcW w:type="dxa" w:w="464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示例</w:t>
            </w:r>
          </w:p>
        </w:tc>
        <w:tc>
          <w:tcPr>
            <w:tcW w:type="dxa" w:w="311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处理结果</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结构完整性</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缺少表头、无数据区、多表结构无法识别</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进入异常；必要时驳回源文件</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必填检查</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年月、门店、产品、69码、数量、金额等必填字段为空</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定位字段并要求补充</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格式检查</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年月非法、编码长度错误、数值列含文本</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自动规范化或人工修正</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主数据检查</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门店/产品/交易处不存在或多重匹配</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选择标准值或提交主数据维护</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重复检查</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同年月+门店+产品+关键业务键重复</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标记重复，禁止无说明重复入账</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数值与逻辑</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数量/金额异常、合计关系不一致、销售成本不合理</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按阈值告警并人工确认</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跨字段一致性</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69码与产品编码对应关系冲突，一码多品</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高优先级异常，必须复核</w:t>
            </w:r>
          </w:p>
        </w:tc>
      </w:tr>
    </w:tbl>
    <w:p>
      <w:pPr>
        <w:spacing w:after="20"/>
      </w:pPr>
    </w:p>
    <w:p>
      <w:pPr>
        <w:pStyle w:val="Heading2"/>
      </w:pPr>
      <w:r>
        <w:t>4.4 台账与汇总</w:t>
      </w:r>
    </w:p>
    <w:p>
      <w:pPr>
        <w:spacing w:line="360" w:lineRule="auto"/>
        <w:ind w:firstLine="420"/>
      </w:pPr>
      <w:r>
        <w:rPr>
          <w:rFonts w:ascii="Arial Unicode MS" w:hAnsi="Arial Unicode MS" w:eastAsia="Arial Unicode MS"/>
          <w:b w:val="0"/>
          <w:color w:val="1D2129"/>
          <w:sz w:val="21"/>
        </w:rPr>
        <w:t>台账与汇总模块展示已通过质检并进入标准口径的POS明细。用户可按全局年月、组织、经销商、门店、产品和异常状态筛选，查看单据详情，按权限修改或导出。台账表头由启用且配置为“显示在台账”的标准字段决定。</w:t>
      </w:r>
    </w:p>
    <w:tbl>
      <w:tblPr>
        <w:tblStyle w:val="TableGrid"/>
        <w:tblW w:type="dxa" w:w="9468"/>
        <w:jc w:val="center"/>
        <w:tblLayout w:type="fixed"/>
        <w:tblLook w:firstColumn="1" w:firstRow="1" w:lastColumn="0" w:lastRow="0" w:noHBand="0" w:noVBand="1" w:val="04A0"/>
      </w:tblPr>
      <w:tblGrid>
        <w:gridCol w:w="1927"/>
        <w:gridCol w:w="7541"/>
      </w:tblGrid>
      <w:tr>
        <w:trPr>
          <w:tblHeader w:val="true"/>
          <w:cantSplit w:val="true"/>
        </w:trPr>
        <w:tc>
          <w:tcPr>
            <w:tcW w:type="dxa" w:w="192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能力</w:t>
            </w:r>
          </w:p>
        </w:tc>
        <w:tc>
          <w:tcPr>
            <w:tcW w:type="dxa" w:w="754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蓝图要求</w:t>
            </w:r>
          </w:p>
        </w:tc>
      </w:tr>
      <w:tr>
        <w:trPr>
          <w:cantSplit w:val="true"/>
        </w:trPr>
        <w:tc>
          <w:tcPr>
            <w:tcW w:type="dxa" w:w="192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查询</w:t>
            </w:r>
          </w:p>
        </w:tc>
        <w:tc>
          <w:tcPr>
            <w:tcW w:type="dxa" w:w="754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支持年月、Team、区域、营业所、经销商、门店编码/名称、产品编码/名称、69码等组合筛选。</w:t>
            </w:r>
          </w:p>
        </w:tc>
      </w:tr>
      <w:tr>
        <w:trPr>
          <w:cantSplit w:val="true"/>
        </w:trPr>
        <w:tc>
          <w:tcPr>
            <w:tcW w:type="dxa" w:w="192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详情</w:t>
            </w:r>
          </w:p>
        </w:tc>
        <w:tc>
          <w:tcPr>
            <w:tcW w:type="dxa" w:w="754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回溯原始文件、解析批次、质检记录、修改记录和当前标准值。</w:t>
            </w:r>
          </w:p>
        </w:tc>
      </w:tr>
      <w:tr>
        <w:trPr>
          <w:cantSplit w:val="true"/>
        </w:trPr>
        <w:tc>
          <w:tcPr>
            <w:tcW w:type="dxa" w:w="192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导出</w:t>
            </w:r>
          </w:p>
        </w:tc>
        <w:tc>
          <w:tcPr>
            <w:tcW w:type="dxa" w:w="754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导出范围必须与当前筛选和用户数据权限一致；记录导出人、时间和条件。</w:t>
            </w:r>
          </w:p>
        </w:tc>
      </w:tr>
      <w:tr>
        <w:trPr>
          <w:cantSplit w:val="true"/>
        </w:trPr>
        <w:tc>
          <w:tcPr>
            <w:tcW w:type="dxa" w:w="192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编辑</w:t>
            </w:r>
          </w:p>
        </w:tc>
        <w:tc>
          <w:tcPr>
            <w:tcW w:type="dxa" w:w="754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仅授权角色可编辑；修改后按配置决定是否重新进入质检。</w:t>
            </w:r>
          </w:p>
        </w:tc>
      </w:tr>
      <w:tr>
        <w:trPr>
          <w:cantSplit w:val="true"/>
        </w:trPr>
        <w:tc>
          <w:tcPr>
            <w:tcW w:type="dxa" w:w="1927"/>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汇总</w:t>
            </w:r>
          </w:p>
        </w:tc>
        <w:tc>
          <w:tcPr>
            <w:tcW w:type="dxa" w:w="754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按业务确认的维度生成月度汇总；汇总口径与标准明细保持可追溯。</w:t>
            </w:r>
          </w:p>
        </w:tc>
      </w:tr>
    </w:tbl>
    <w:p>
      <w:pPr>
        <w:spacing w:after="20"/>
      </w:pPr>
    </w:p>
    <w:p>
      <w:pPr>
        <w:pStyle w:val="Heading2"/>
      </w:pPr>
      <w:r>
        <w:t>4.5 数据分析</w:t>
      </w:r>
    </w:p>
    <w:tbl>
      <w:tblPr>
        <w:tblStyle w:val="TableGrid"/>
        <w:tblW w:type="dxa" w:w="9468"/>
        <w:jc w:val="center"/>
        <w:tblLayout w:type="fixed"/>
        <w:tblLook w:firstColumn="1" w:firstRow="1" w:lastColumn="0" w:lastRow="0" w:noHBand="0" w:noVBand="1" w:val="04A0"/>
      </w:tblPr>
      <w:tblGrid>
        <w:gridCol w:w="1814"/>
        <w:gridCol w:w="3515"/>
        <w:gridCol w:w="4139"/>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分析页签</w:t>
            </w:r>
          </w:p>
        </w:tc>
        <w:tc>
          <w:tcPr>
            <w:tcW w:type="dxa" w:w="351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用途</w:t>
            </w:r>
          </w:p>
        </w:tc>
        <w:tc>
          <w:tcPr>
            <w:tcW w:type="dxa" w:w="413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主要字段/筛选</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门店对照表</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查看客户系统门店与好丽友标准交易处的匹配关系</w:t>
            </w:r>
          </w:p>
        </w:tc>
        <w:tc>
          <w:tcPr>
            <w:tcW w:type="dxa" w:w="413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客户系统、客户门店编码/名称、ACC、标准交易处、匹配状态、操作时间</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月度门店</w:t>
            </w:r>
          </w:p>
        </w:tc>
        <w:tc>
          <w:tcPr>
            <w:tcW w:type="dxa" w:w="351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按月份查看门店映射及组织归属快照</w:t>
            </w:r>
          </w:p>
        </w:tc>
        <w:tc>
          <w:tcPr>
            <w:tcW w:type="dxa" w:w="413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年月、Team、区域、营业所、匹配状态</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字段列表</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检查各客户/文件在不同月份可提供的字段及备注</w:t>
            </w:r>
          </w:p>
        </w:tc>
        <w:tc>
          <w:tcPr>
            <w:tcW w:type="dxa" w:w="413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年月、字段、可用性、组合条件</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门店提交监控</w:t>
            </w:r>
          </w:p>
        </w:tc>
        <w:tc>
          <w:tcPr>
            <w:tcW w:type="dxa" w:w="351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按月份跟踪门店是否提交POS数据</w:t>
            </w:r>
          </w:p>
        </w:tc>
        <w:tc>
          <w:tcPr>
            <w:tcW w:type="dxa" w:w="413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月份范围、门店、提交/未提交状态</w:t>
            </w:r>
          </w:p>
        </w:tc>
      </w:tr>
    </w:tbl>
    <w:p>
      <w:pPr>
        <w:spacing w:after="20"/>
      </w:pPr>
    </w:p>
    <w:p>
      <w:pPr>
        <w:jc w:val="center"/>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implementation-blue-white.png"/>
                    <pic:cNvPicPr/>
                  </pic:nvPicPr>
                  <pic:blipFill>
                    <a:blip r:embed="rId16"/>
                    <a:stretch>
                      <a:fillRect/>
                    </a:stretch>
                  </pic:blipFill>
                  <pic:spPr>
                    <a:xfrm>
                      <a:off x="0" y="0"/>
                      <a:ext cx="5832000" cy="3280500"/>
                    </a:xfrm>
                    <a:prstGeom prst="rect"/>
                  </pic:spPr>
                </pic:pic>
              </a:graphicData>
            </a:graphic>
          </wp:inline>
        </w:drawing>
      </w:r>
    </w:p>
    <w:p>
      <w:pPr>
        <w:keepNext w:val="0"/>
        <w:jc w:val="center"/>
      </w:pPr>
      <w:r>
        <w:rPr>
          <w:rFonts w:ascii="Arial Unicode MS" w:hAnsi="Arial Unicode MS" w:eastAsia="Arial Unicode MS"/>
          <w:b w:val="0"/>
          <w:color w:val="4E5969"/>
          <w:sz w:val="17"/>
        </w:rPr>
        <w:t>图 4-1 当前项目数据分析界面（门店对照表）</w:t>
      </w:r>
    </w:p>
    <w:p>
      <w:pPr>
        <w:pStyle w:val="Heading2"/>
      </w:pPr>
      <w:r>
        <w:t>4.6 系统设置</w:t>
      </w:r>
    </w:p>
    <w:tbl>
      <w:tblPr>
        <w:tblStyle w:val="TableGrid"/>
        <w:tblW w:type="dxa" w:w="9468"/>
        <w:jc w:val="center"/>
        <w:tblLayout w:type="fixed"/>
        <w:tblLook w:firstColumn="1" w:firstRow="1" w:lastColumn="0" w:lastRow="0" w:noHBand="0" w:noVBand="1" w:val="04A0"/>
      </w:tblPr>
      <w:tblGrid>
        <w:gridCol w:w="1814"/>
        <w:gridCol w:w="4025"/>
        <w:gridCol w:w="3628"/>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子模块</w:t>
            </w:r>
          </w:p>
        </w:tc>
        <w:tc>
          <w:tcPr>
            <w:tcW w:type="dxa" w:w="402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功能</w:t>
            </w:r>
          </w:p>
        </w:tc>
        <w:tc>
          <w:tcPr>
            <w:tcW w:type="dxa" w:w="362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关键控制</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用户管理</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新建、编辑、启停、重置密码、删除、权限预览</w:t>
            </w:r>
          </w:p>
        </w:tc>
        <w:tc>
          <w:tcPr>
            <w:tcW w:type="dxa" w:w="362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用户不单独配置数据范围，默认继承角色</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角色权限</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配置菜单/动作权限和组织数据范围</w:t>
            </w:r>
          </w:p>
        </w:tc>
        <w:tc>
          <w:tcPr>
            <w:tcW w:type="dxa" w:w="362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支持全部数据或按Team/区域/营业所选择</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字段配置</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标准字段名、别名、类型、必填、参与质检、台账显示、启停与排序</w:t>
            </w:r>
          </w:p>
        </w:tc>
        <w:tc>
          <w:tcPr>
            <w:tcW w:type="dxa" w:w="362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变更后同步影响质检规则与台账表头；需审计</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系统日志</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按时间、用户、模块、动作和关键词查询并导出</w:t>
            </w:r>
          </w:p>
        </w:tc>
        <w:tc>
          <w:tcPr>
            <w:tcW w:type="dxa" w:w="362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记录结果、目标、明细、修改前后值</w:t>
            </w:r>
          </w:p>
        </w:tc>
      </w:tr>
    </w:tbl>
    <w:p>
      <w:pPr>
        <w:spacing w:after="20"/>
      </w:pPr>
    </w:p>
    <w:p>
      <w:pPr>
        <w:pStyle w:val="Heading2"/>
      </w:pPr>
      <w:r>
        <w:t>4.7 AI辅助与交互</w:t>
      </w:r>
    </w:p>
    <w:p>
      <w:pPr>
        <w:spacing w:line="360" w:lineRule="auto"/>
        <w:ind w:firstLine="420"/>
      </w:pPr>
      <w:r>
        <w:rPr>
          <w:rFonts w:ascii="Arial Unicode MS" w:hAnsi="Arial Unicode MS" w:eastAsia="Arial Unicode MS"/>
          <w:b w:val="0"/>
          <w:color w:val="1D2129"/>
          <w:sz w:val="21"/>
        </w:rPr>
        <w:t>平台可提供全局AI辅助入口，用于解释异常、提示处理步骤、根据上下文定位单据或给出字段匹配建议。一阶段AI不替代业务审批，不直接绕过权限执行删除、放行或跨组织查询；所有实际写操作必须通过明确的业务动作并进入日志。</w:t>
      </w:r>
    </w:p>
    <w:p>
      <w:pPr>
        <w:pStyle w:val="Heading2"/>
      </w:pPr>
      <w:r>
        <w:t>4.8 登录与多语言</w:t>
      </w:r>
    </w:p>
    <w:p>
      <w:pPr>
        <w:pStyle w:val="ListBullet"/>
        <w:spacing w:after="60"/>
        <w:ind w:left="425" w:hanging="198"/>
      </w:pPr>
      <w:r>
        <w:rPr>
          <w:rFonts w:ascii="Arial Unicode MS" w:hAnsi="Arial Unicode MS" w:eastAsia="Arial Unicode MS"/>
          <w:b w:val="0"/>
          <w:color w:val="1D2129"/>
          <w:sz w:val="21"/>
        </w:rPr>
        <w:t>支持账号密码登录、密码显示/隐藏、记住账号或凭据策略（需符合安全要求）。</w:t>
      </w:r>
    </w:p>
    <w:p>
      <w:pPr>
        <w:pStyle w:val="ListBullet"/>
        <w:spacing w:after="60"/>
        <w:ind w:left="425" w:hanging="198"/>
      </w:pPr>
      <w:r>
        <w:rPr>
          <w:rFonts w:ascii="Arial Unicode MS" w:hAnsi="Arial Unicode MS" w:eastAsia="Arial Unicode MS"/>
          <w:b w:val="0"/>
          <w:color w:val="1D2129"/>
          <w:sz w:val="21"/>
        </w:rPr>
        <w:t>登录后按用户角色和组织数据范围加载导航与数据。</w:t>
      </w:r>
    </w:p>
    <w:p>
      <w:pPr>
        <w:pStyle w:val="ListBullet"/>
        <w:spacing w:after="60"/>
        <w:ind w:left="425" w:hanging="198"/>
      </w:pPr>
      <w:r>
        <w:rPr>
          <w:rFonts w:ascii="Arial Unicode MS" w:hAnsi="Arial Unicode MS" w:eastAsia="Arial Unicode MS"/>
          <w:b w:val="0"/>
          <w:color w:val="1D2129"/>
          <w:sz w:val="21"/>
        </w:rPr>
        <w:t>一阶段保留中文/韩文界面切换能力；业务数据本身不强制翻译。</w:t>
      </w:r>
    </w:p>
    <w:p>
      <w:pPr>
        <w:pStyle w:val="ListBullet"/>
        <w:spacing w:after="60"/>
        <w:ind w:left="425" w:hanging="198"/>
      </w:pPr>
      <w:r>
        <w:rPr>
          <w:rFonts w:ascii="Arial Unicode MS" w:hAnsi="Arial Unicode MS" w:eastAsia="Arial Unicode MS"/>
          <w:b w:val="0"/>
          <w:color w:val="1D2129"/>
          <w:sz w:val="21"/>
        </w:rPr>
        <w:t>登录失败、账号停用、会话过期和无权限访问应给出明确提示。</w:t>
      </w:r>
    </w:p>
    <w:p>
      <w:pPr>
        <w:jc w:val="center"/>
      </w:pPr>
      <w:r>
        <w:drawing>
          <wp:inline xmlns:a="http://schemas.openxmlformats.org/drawingml/2006/main" xmlns:pic="http://schemas.openxmlformats.org/drawingml/2006/picture">
            <wp:extent cx="5832000" cy="3280500"/>
            <wp:docPr id="3" name="Picture 3"/>
            <wp:cNvGraphicFramePr>
              <a:graphicFrameLocks noChangeAspect="1"/>
            </wp:cNvGraphicFramePr>
            <a:graphic>
              <a:graphicData uri="http://schemas.openxmlformats.org/drawingml/2006/picture">
                <pic:pic>
                  <pic:nvPicPr>
                    <pic:cNvPr id="0" name="implementation-login-redesign.png"/>
                    <pic:cNvPicPr/>
                  </pic:nvPicPr>
                  <pic:blipFill>
                    <a:blip r:embed="rId17"/>
                    <a:stretch>
                      <a:fillRect/>
                    </a:stretch>
                  </pic:blipFill>
                  <pic:spPr>
                    <a:xfrm>
                      <a:off x="0" y="0"/>
                      <a:ext cx="5832000" cy="3280500"/>
                    </a:xfrm>
                    <a:prstGeom prst="rect"/>
                  </pic:spPr>
                </pic:pic>
              </a:graphicData>
            </a:graphic>
          </wp:inline>
        </w:drawing>
      </w:r>
    </w:p>
    <w:p>
      <w:pPr>
        <w:keepNext w:val="0"/>
        <w:jc w:val="center"/>
      </w:pPr>
      <w:r>
        <w:rPr>
          <w:rFonts w:ascii="Arial Unicode MS" w:hAnsi="Arial Unicode MS" w:eastAsia="Arial Unicode MS"/>
          <w:b w:val="0"/>
          <w:color w:val="4E5969"/>
          <w:sz w:val="17"/>
        </w:rPr>
        <w:t>图 4-2 当前项目登录界面</w:t>
      </w:r>
    </w:p>
    <w:p>
      <w:r>
        <w:br w:type="page"/>
      </w:r>
    </w:p>
    <w:p>
      <w:pPr>
        <w:pStyle w:val="Heading1"/>
      </w:pPr>
      <w:r>
        <w:t>5. 数据蓝图</w:t>
      </w:r>
    </w:p>
    <w:p>
      <w:pPr>
        <w:pStyle w:val="Heading2"/>
      </w:pPr>
      <w:r>
        <w:t>5.1 数据分层与生命周期</w:t>
      </w:r>
    </w:p>
    <w:tbl>
      <w:tblPr>
        <w:tblStyle w:val="TableGrid"/>
        <w:tblW w:type="dxa" w:w="9468"/>
        <w:tblLayout w:type="fixed"/>
        <w:tblLook w:firstColumn="1" w:firstRow="1" w:lastColumn="0" w:lastRow="0" w:noHBand="0" w:noVBand="1" w:val="04A0"/>
      </w:tblPr>
      <w:tblGrid>
        <w:gridCol w:w="1578"/>
        <w:gridCol w:w="1578"/>
        <w:gridCol w:w="1578"/>
        <w:gridCol w:w="1578"/>
        <w:gridCol w:w="1578"/>
        <w:gridCol w:w="1578"/>
      </w:tblGrid>
      <w:tr>
        <w:tc>
          <w:tcPr>
            <w:tcW w:type="dxa" w:w="1578"/>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1</w:t>
              <w:br/>
              <w:t>原始文件区</w:t>
            </w:r>
          </w:p>
        </w:tc>
        <w:tc>
          <w:tcPr>
            <w:tcW w:type="dxa" w:w="1578"/>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2</w:t>
              <w:br/>
              <w:t>解析暂存区</w:t>
            </w:r>
          </w:p>
        </w:tc>
        <w:tc>
          <w:tcPr>
            <w:tcW w:type="dxa" w:w="1578"/>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3</w:t>
              <w:br/>
              <w:t>标准化区</w:t>
            </w:r>
          </w:p>
        </w:tc>
        <w:tc>
          <w:tcPr>
            <w:tcW w:type="dxa" w:w="1578"/>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4</w:t>
              <w:br/>
              <w:t>质量异常区</w:t>
            </w:r>
          </w:p>
        </w:tc>
        <w:tc>
          <w:tcPr>
            <w:tcW w:type="dxa" w:w="1578"/>
            <w:shd w:fill="155EEF"/>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5</w:t>
              <w:br/>
              <w:t>标准台账区</w:t>
            </w:r>
          </w:p>
        </w:tc>
        <w:tc>
          <w:tcPr>
            <w:tcW w:type="dxa" w:w="1578"/>
            <w:shd w:fill="377CFB"/>
            <w:tcMar>
              <w:top w:w="160" w:type="dxa"/>
              <w:start w:w="70" w:type="dxa"/>
              <w:bottom w:w="160" w:type="dxa"/>
              <w:end w:w="70" w:type="dxa"/>
            </w:tcMar>
            <w:vAlign w:val="center"/>
          </w:tcPr>
          <w:p>
            <w:pPr>
              <w:spacing w:line="276" w:lineRule="auto"/>
              <w:jc w:val="center"/>
            </w:pPr>
            <w:r>
              <w:rPr>
                <w:rFonts w:ascii="Arial Unicode MS" w:hAnsi="Arial Unicode MS" w:eastAsia="Arial Unicode MS"/>
                <w:b/>
                <w:color w:val="FFFFFF"/>
                <w:sz w:val="18"/>
              </w:rPr>
              <w:t>6</w:t>
              <w:br/>
              <w:t>分析服务区</w:t>
            </w:r>
          </w:p>
        </w:tc>
      </w:tr>
    </w:tbl>
    <w:p>
      <w:pPr>
        <w:spacing w:after="20"/>
      </w:pPr>
    </w:p>
    <w:p>
      <w:pPr>
        <w:spacing w:line="360" w:lineRule="auto"/>
        <w:ind w:firstLine="420"/>
      </w:pPr>
      <w:r>
        <w:rPr>
          <w:rFonts w:ascii="Arial Unicode MS" w:hAnsi="Arial Unicode MS" w:eastAsia="Arial Unicode MS"/>
          <w:b w:val="0"/>
          <w:color w:val="1D2129"/>
          <w:sz w:val="21"/>
        </w:rPr>
        <w:t>原始文件区保存收到的原文件及元数据；解析暂存区保存拆包、拆表和结构化中间结果；标准化区保存字段与主数据映射结果；质量异常区保存规则命中和处置记录；通过质检的数据写入标准台账区，并通过分析视图和导出服务提供给业务。各层之间使用批次号、文件号、单据号和明细行号贯通。</w:t>
      </w:r>
    </w:p>
    <w:p>
      <w:pPr>
        <w:pStyle w:val="Heading2"/>
      </w:pPr>
      <w:r>
        <w:t>5.2 核心数据实体</w:t>
      </w:r>
    </w:p>
    <w:tbl>
      <w:tblPr>
        <w:tblStyle w:val="TableGrid"/>
        <w:tblW w:type="dxa" w:w="9468"/>
        <w:jc w:val="center"/>
        <w:tblLayout w:type="fixed"/>
        <w:tblLook w:firstColumn="1" w:firstRow="1" w:lastColumn="0" w:lastRow="0" w:noHBand="0" w:noVBand="1" w:val="04A0"/>
      </w:tblPr>
      <w:tblGrid>
        <w:gridCol w:w="1701"/>
        <w:gridCol w:w="4649"/>
        <w:gridCol w:w="3118"/>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实体</w:t>
            </w:r>
          </w:p>
        </w:tc>
        <w:tc>
          <w:tcPr>
            <w:tcW w:type="dxa" w:w="464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关键属性</w:t>
            </w:r>
          </w:p>
        </w:tc>
        <w:tc>
          <w:tcPr>
            <w:tcW w:type="dxa" w:w="311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主要关系</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文件批次</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批次号、年月、来源、提交人、组织、状态</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包含一个或多个文件/附件</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文件/附件</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文件号、文件名、指纹、类型、大小、版本、解析状态</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来源于批次，可拆分为门店处理单元</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门店处理单元</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单据号、客户门店、标准门店、责任人、流程状态</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关联解析结果、异常和处理记录</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标准POS明细</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年月、组织、经销商、门店、产品、69码、数量、金额、成本</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来源于已通过质检的解析明细</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异常记录</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规则、字段、原值、建议、级别、状态</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关联文件、单据或明细行</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主数据映射</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客户系统/编码/名称、标准编码/名称、有效期、状态</w:t>
            </w:r>
          </w:p>
        </w:tc>
        <w:tc>
          <w:tcPr>
            <w:tcW w:type="dxa" w:w="311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用于门店和产品匹配</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操作日志</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用户、模块、动作、目标、结果、前后值、时间</w:t>
            </w:r>
          </w:p>
        </w:tc>
        <w:tc>
          <w:tcPr>
            <w:tcW w:type="dxa" w:w="311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关联业务对象并支持审计</w:t>
            </w:r>
          </w:p>
        </w:tc>
      </w:tr>
    </w:tbl>
    <w:p>
      <w:pPr>
        <w:spacing w:after="20"/>
      </w:pPr>
    </w:p>
    <w:p>
      <w:pPr>
        <w:pStyle w:val="Heading2"/>
      </w:pPr>
      <w:r>
        <w:t>5.3 标准POS字段建议</w:t>
      </w:r>
    </w:p>
    <w:tbl>
      <w:tblPr>
        <w:tblStyle w:val="TableGrid"/>
        <w:tblW w:type="dxa" w:w="9468"/>
        <w:jc w:val="center"/>
        <w:tblLayout w:type="fixed"/>
        <w:tblLook w:firstColumn="1" w:firstRow="1" w:lastColumn="0" w:lastRow="0" w:noHBand="0" w:noVBand="1" w:val="04A0"/>
      </w:tblPr>
      <w:tblGrid>
        <w:gridCol w:w="1247"/>
        <w:gridCol w:w="3515"/>
        <w:gridCol w:w="1474"/>
        <w:gridCol w:w="3231"/>
      </w:tblGrid>
      <w:tr>
        <w:trPr>
          <w:tblHeader w:val="true"/>
          <w:cantSplit w:val="true"/>
        </w:trPr>
        <w:tc>
          <w:tcPr>
            <w:tcW w:type="dxa" w:w="124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分类</w:t>
            </w:r>
          </w:p>
        </w:tc>
        <w:tc>
          <w:tcPr>
            <w:tcW w:type="dxa" w:w="351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字段</w:t>
            </w:r>
          </w:p>
        </w:tc>
        <w:tc>
          <w:tcPr>
            <w:tcW w:type="dxa" w:w="147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必填建议</w:t>
            </w:r>
          </w:p>
        </w:tc>
        <w:tc>
          <w:tcPr>
            <w:tcW w:type="dxa" w:w="323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说明</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时间</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年月</w:t>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统一为 YYYY-MM，决定业务归属周期</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组织</w:t>
            </w:r>
          </w:p>
        </w:tc>
        <w:tc>
          <w:tcPr>
            <w:tcW w:type="dxa" w:w="351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ACC、经销商名称、Team、区域、营业所</w:t>
            </w:r>
          </w:p>
        </w:tc>
        <w:tc>
          <w:tcPr>
            <w:tcW w:type="dxa" w:w="147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按口径</w:t>
            </w:r>
          </w:p>
        </w:tc>
        <w:tc>
          <w:tcPr>
            <w:tcW w:type="dxa" w:w="323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组织层级由标准主数据派生</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门店</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客户门店编码/名称、标准门店编码/名称</w:t>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保留客户值与标准值，便于追溯</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产品</w:t>
            </w:r>
          </w:p>
        </w:tc>
        <w:tc>
          <w:tcPr>
            <w:tcW w:type="dxa" w:w="351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产品编码、产品名称、69码</w:t>
            </w:r>
          </w:p>
        </w:tc>
        <w:tc>
          <w:tcPr>
            <w:tcW w:type="dxa" w:w="147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w:t>
            </w:r>
          </w:p>
        </w:tc>
        <w:tc>
          <w:tcPr>
            <w:tcW w:type="dxa" w:w="323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校验编码对应关系和一码多品冲突</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销售</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销售数量、销售金额、销售成本</w:t>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是/按模板</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统一为数值类型，明确单位与小数精度</w:t>
            </w:r>
          </w:p>
        </w:tc>
      </w:tr>
      <w:tr>
        <w:trPr>
          <w:cantSplit w:val="true"/>
        </w:trPr>
        <w:tc>
          <w:tcPr>
            <w:tcW w:type="dxa" w:w="124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追溯</w:t>
            </w:r>
          </w:p>
        </w:tc>
        <w:tc>
          <w:tcPr>
            <w:tcW w:type="dxa" w:w="351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批次号、文件号、单据号、源行号、版本</w:t>
            </w:r>
          </w:p>
        </w:tc>
        <w:tc>
          <w:tcPr>
            <w:tcW w:type="dxa" w:w="147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w:t>
            </w:r>
          </w:p>
        </w:tc>
        <w:tc>
          <w:tcPr>
            <w:tcW w:type="dxa" w:w="323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系统生成，不由业务文件覆盖</w:t>
            </w:r>
          </w:p>
        </w:tc>
      </w:tr>
      <w:tr>
        <w:trPr>
          <w:cantSplit w:val="true"/>
        </w:trPr>
        <w:tc>
          <w:tcPr>
            <w:tcW w:type="dxa" w:w="124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质量</w:t>
            </w:r>
          </w:p>
        </w:tc>
        <w:tc>
          <w:tcPr>
            <w:tcW w:type="dxa" w:w="351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质检状态、异常数、置信度、最后处理人/时间</w:t>
            </w:r>
          </w:p>
        </w:tc>
        <w:tc>
          <w:tcPr>
            <w:tcW w:type="dxa" w:w="147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是</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用于过程控制和查询</w:t>
            </w:r>
          </w:p>
        </w:tc>
      </w:tr>
    </w:tbl>
    <w:p>
      <w:pPr>
        <w:spacing w:after="20"/>
      </w:pPr>
    </w:p>
    <w:p>
      <w:pPr>
        <w:pStyle w:val="Heading2"/>
      </w:pPr>
      <w:r>
        <w:t>5.4 门店及交易处匹配</w:t>
      </w:r>
    </w:p>
    <w:p>
      <w:pPr>
        <w:numPr>
          <w:ilvl w:val="0"/>
          <w:numId w:val="11"/>
        </w:numPr>
        <w:spacing w:after="60"/>
        <w:ind w:left="425" w:hanging="198"/>
      </w:pPr>
      <w:r>
        <w:rPr>
          <w:rFonts w:ascii="Arial Unicode MS" w:hAnsi="Arial Unicode MS" w:eastAsia="Arial Unicode MS"/>
          <w:b w:val="0"/>
          <w:color w:val="1D2129"/>
          <w:sz w:val="21"/>
        </w:rPr>
        <w:t>优先使用客户系统+客户门店编码或客户交易处编码进行精确匹配。</w:t>
      </w:r>
    </w:p>
    <w:p>
      <w:pPr>
        <w:numPr>
          <w:ilvl w:val="0"/>
          <w:numId w:val="11"/>
        </w:numPr>
        <w:spacing w:after="60"/>
        <w:ind w:left="425" w:hanging="198"/>
      </w:pPr>
      <w:r>
        <w:rPr>
          <w:rFonts w:ascii="Arial Unicode MS" w:hAnsi="Arial Unicode MS" w:eastAsia="Arial Unicode MS"/>
          <w:b w:val="0"/>
          <w:color w:val="1D2129"/>
          <w:sz w:val="21"/>
        </w:rPr>
        <w:t>编码缺失时，使用客户系统、门店名称、地址、经销商和组织归属进行组合匹配。</w:t>
      </w:r>
    </w:p>
    <w:p>
      <w:pPr>
        <w:numPr>
          <w:ilvl w:val="0"/>
          <w:numId w:val="11"/>
        </w:numPr>
        <w:spacing w:after="60"/>
        <w:ind w:left="425" w:hanging="198"/>
      </w:pPr>
      <w:r>
        <w:rPr>
          <w:rFonts w:ascii="Arial Unicode MS" w:hAnsi="Arial Unicode MS" w:eastAsia="Arial Unicode MS"/>
          <w:b w:val="0"/>
          <w:color w:val="1D2129"/>
          <w:sz w:val="21"/>
        </w:rPr>
        <w:t>组合匹配必须输出候选项和置信度；低于阈值或存在多个候选时禁止自动确认。</w:t>
      </w:r>
    </w:p>
    <w:p>
      <w:pPr>
        <w:numPr>
          <w:ilvl w:val="0"/>
          <w:numId w:val="11"/>
        </w:numPr>
        <w:spacing w:after="60"/>
        <w:ind w:left="425" w:hanging="198"/>
      </w:pPr>
      <w:r>
        <w:rPr>
          <w:rFonts w:ascii="Arial Unicode MS" w:hAnsi="Arial Unicode MS" w:eastAsia="Arial Unicode MS"/>
          <w:b w:val="0"/>
          <w:color w:val="1D2129"/>
          <w:sz w:val="21"/>
        </w:rPr>
        <w:t>人工确认后沉淀为有效期可管理的映射关系，后续同类文件复用。</w:t>
      </w:r>
    </w:p>
    <w:p>
      <w:pPr>
        <w:numPr>
          <w:ilvl w:val="0"/>
          <w:numId w:val="11"/>
        </w:numPr>
        <w:spacing w:after="60"/>
        <w:ind w:left="425" w:hanging="198"/>
      </w:pPr>
      <w:r>
        <w:rPr>
          <w:rFonts w:ascii="Arial Unicode MS" w:hAnsi="Arial Unicode MS" w:eastAsia="Arial Unicode MS"/>
          <w:b w:val="0"/>
          <w:color w:val="1D2129"/>
          <w:sz w:val="21"/>
        </w:rPr>
        <w:t>标准主数据发生合并、停用或更名时，保留历史映射和有效期，避免改写历史台账。</w:t>
      </w:r>
    </w:p>
    <w:p>
      <w:pPr>
        <w:pStyle w:val="Heading2"/>
      </w:pPr>
      <w:r>
        <w:t>5.5 数据状态模型</w:t>
      </w:r>
    </w:p>
    <w:tbl>
      <w:tblPr>
        <w:tblStyle w:val="TableGrid"/>
        <w:tblW w:type="dxa" w:w="9468"/>
        <w:jc w:val="center"/>
        <w:tblLayout w:type="fixed"/>
        <w:tblLook w:firstColumn="1" w:firstRow="1" w:lastColumn="0" w:lastRow="0" w:noHBand="0" w:noVBand="1" w:val="04A0"/>
      </w:tblPr>
      <w:tblGrid>
        <w:gridCol w:w="1701"/>
        <w:gridCol w:w="4536"/>
        <w:gridCol w:w="3231"/>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对象</w:t>
            </w:r>
          </w:p>
        </w:tc>
        <w:tc>
          <w:tcPr>
            <w:tcW w:type="dxa" w:w="4536"/>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主要状态</w:t>
            </w:r>
          </w:p>
        </w:tc>
        <w:tc>
          <w:tcPr>
            <w:tcW w:type="dxa" w:w="323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状态控制</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文件</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待处理、校验中、正常、待处理、部分驳回、整体驳回、作废、已处理</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由预检/解析和人工处置共同驱动</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门店单据</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待通过、POS担当待处理、营业担当处理中、质检中、已同步、校验失败</w:t>
            </w:r>
          </w:p>
        </w:tc>
        <w:tc>
          <w:tcPr>
            <w:tcW w:type="dxa" w:w="323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按角色和权限限定可执行动作</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异常</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待处理、处理中、待复核、已通过、已驳回、已关闭</w:t>
            </w:r>
          </w:p>
        </w:tc>
        <w:tc>
          <w:tcPr>
            <w:tcW w:type="dxa" w:w="3231"/>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关闭前必须有处理结果或豁免理由</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台账明细</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有效、待复核、已更正、已作废</w:t>
            </w:r>
          </w:p>
        </w:tc>
        <w:tc>
          <w:tcPr>
            <w:tcW w:type="dxa" w:w="323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更正生成版本链，禁止无痕覆盖</w:t>
            </w:r>
          </w:p>
        </w:tc>
      </w:tr>
    </w:tbl>
    <w:p>
      <w:pPr>
        <w:spacing w:after="20"/>
      </w:pPr>
    </w:p>
    <w:p>
      <w:pPr>
        <w:pStyle w:val="Heading2"/>
      </w:pPr>
      <w:r>
        <w:t>5.6 数据保留与归档原则</w:t>
      </w:r>
    </w:p>
    <w:p>
      <w:pPr>
        <w:pStyle w:val="ListBullet"/>
        <w:spacing w:after="60"/>
        <w:ind w:left="425" w:hanging="198"/>
      </w:pPr>
      <w:r>
        <w:rPr>
          <w:rFonts w:ascii="Arial Unicode MS" w:hAnsi="Arial Unicode MS" w:eastAsia="Arial Unicode MS"/>
          <w:b w:val="0"/>
          <w:color w:val="1D2129"/>
          <w:sz w:val="21"/>
        </w:rPr>
        <w:t>原始文件、标准明细、异常记录和审计日志的保留期限由好丽友数据管理和合规要求确定。</w:t>
      </w:r>
    </w:p>
    <w:p>
      <w:pPr>
        <w:pStyle w:val="ListBullet"/>
        <w:spacing w:after="60"/>
        <w:ind w:left="425" w:hanging="198"/>
      </w:pPr>
      <w:r>
        <w:rPr>
          <w:rFonts w:ascii="Arial Unicode MS" w:hAnsi="Arial Unicode MS" w:eastAsia="Arial Unicode MS"/>
          <w:b w:val="0"/>
          <w:color w:val="1D2129"/>
          <w:sz w:val="21"/>
        </w:rPr>
        <w:t>业务删除默认采用逻辑删除或作废；物理删除仅限运维和合规批准场景。</w:t>
      </w:r>
    </w:p>
    <w:p>
      <w:pPr>
        <w:pStyle w:val="ListBullet"/>
        <w:spacing w:after="60"/>
        <w:ind w:left="425" w:hanging="198"/>
      </w:pPr>
      <w:r>
        <w:rPr>
          <w:rFonts w:ascii="Arial Unicode MS" w:hAnsi="Arial Unicode MS" w:eastAsia="Arial Unicode MS"/>
          <w:b w:val="0"/>
          <w:color w:val="1D2129"/>
          <w:sz w:val="21"/>
        </w:rPr>
        <w:t>导出文件应设置有效期和访问控制，避免长期散落。</w:t>
      </w:r>
    </w:p>
    <w:p>
      <w:pPr>
        <w:pStyle w:val="ListBullet"/>
        <w:spacing w:after="60"/>
        <w:ind w:left="425" w:hanging="198"/>
      </w:pPr>
      <w:r>
        <w:rPr>
          <w:rFonts w:ascii="Arial Unicode MS" w:hAnsi="Arial Unicode MS" w:eastAsia="Arial Unicode MS"/>
          <w:b w:val="0"/>
          <w:color w:val="1D2129"/>
          <w:sz w:val="21"/>
        </w:rPr>
        <w:t>历史批次归档后仍可按权限查询，恢复操作需记录日志。</w:t>
      </w:r>
    </w:p>
    <w:p>
      <w:r>
        <w:br w:type="page"/>
      </w:r>
    </w:p>
    <w:p>
      <w:pPr>
        <w:pStyle w:val="Heading1"/>
      </w:pPr>
      <w:r>
        <w:t>6. 权限、安全与审计蓝图</w:t>
      </w:r>
    </w:p>
    <w:p>
      <w:pPr>
        <w:pStyle w:val="Heading2"/>
      </w:pPr>
      <w:r>
        <w:t>6.1 权限模型</w:t>
      </w:r>
    </w:p>
    <w:p>
      <w:pPr>
        <w:spacing w:line="360" w:lineRule="auto"/>
        <w:ind w:firstLine="420"/>
      </w:pPr>
      <w:r>
        <w:rPr>
          <w:rFonts w:ascii="Arial Unicode MS" w:hAnsi="Arial Unicode MS" w:eastAsia="Arial Unicode MS"/>
          <w:b w:val="0"/>
          <w:color w:val="1D2129"/>
          <w:sz w:val="21"/>
        </w:rPr>
        <w:t>平台采用“用户—角色—功能权限—组织数据范围”的RBAC模型。用户分配一个或多个经确认的业务角色，功能权限细化到模块/页面/动作，数据权限按Team、区域、营业所等组织范围控制。所有列表、详情、统计、批量操作和导出必须使用同一数据权限过滤规则。</w:t>
      </w:r>
    </w:p>
    <w:tbl>
      <w:tblPr>
        <w:tblStyle w:val="TableGrid"/>
        <w:tblW w:type="dxa" w:w="9468"/>
        <w:jc w:val="center"/>
        <w:tblLayout w:type="fixed"/>
        <w:tblLook w:firstColumn="1" w:firstRow="1" w:lastColumn="0" w:lastRow="0" w:noHBand="0" w:noVBand="1" w:val="04A0"/>
      </w:tblPr>
      <w:tblGrid>
        <w:gridCol w:w="1757"/>
        <w:gridCol w:w="4139"/>
        <w:gridCol w:w="3572"/>
      </w:tblGrid>
      <w:tr>
        <w:trPr>
          <w:tblHeader w:val="true"/>
          <w:cantSplit w:val="true"/>
        </w:trPr>
        <w:tc>
          <w:tcPr>
            <w:tcW w:type="dxa" w:w="175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权限层</w:t>
            </w:r>
          </w:p>
        </w:tc>
        <w:tc>
          <w:tcPr>
            <w:tcW w:type="dxa" w:w="413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控制内容</w:t>
            </w:r>
          </w:p>
        </w:tc>
        <w:tc>
          <w:tcPr>
            <w:tcW w:type="dxa" w:w="357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示例</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菜单/页面</w:t>
            </w:r>
          </w:p>
        </w:tc>
        <w:tc>
          <w:tcPr>
            <w:tcW w:type="dxa" w:w="413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是否可见和可访问</w:t>
            </w:r>
          </w:p>
        </w:tc>
        <w:tc>
          <w:tcPr>
            <w:tcW w:type="dxa" w:w="357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质量检查、系统设置</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业务动作</w:t>
            </w:r>
          </w:p>
        </w:tc>
        <w:tc>
          <w:tcPr>
            <w:tcW w:type="dxa" w:w="413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查看、新建、编辑、质检、通过、驳回、删除、导出</w:t>
            </w:r>
          </w:p>
        </w:tc>
        <w:tc>
          <w:tcPr>
            <w:tcW w:type="dxa" w:w="357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营业担当可查看但不一定可通过</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数据范围</w:t>
            </w:r>
          </w:p>
        </w:tc>
        <w:tc>
          <w:tcPr>
            <w:tcW w:type="dxa" w:w="413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全部数据或指定Team/区域/营业所</w:t>
            </w:r>
          </w:p>
        </w:tc>
        <w:tc>
          <w:tcPr>
            <w:tcW w:type="dxa" w:w="3572"/>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华北Team、石家庄营业所</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字段/敏感操作</w:t>
            </w:r>
          </w:p>
        </w:tc>
        <w:tc>
          <w:tcPr>
            <w:tcW w:type="dxa" w:w="413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字段可见、批量导出、覆盖、删除、角色配置</w:t>
            </w:r>
          </w:p>
        </w:tc>
        <w:tc>
          <w:tcPr>
            <w:tcW w:type="dxa" w:w="357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仅管理员或授权角色</w:t>
            </w:r>
          </w:p>
        </w:tc>
      </w:tr>
    </w:tbl>
    <w:p>
      <w:pPr>
        <w:spacing w:after="20"/>
      </w:pPr>
    </w:p>
    <w:p>
      <w:pPr>
        <w:pStyle w:val="Heading2"/>
      </w:pPr>
      <w:r>
        <w:t>6.2 安全要求</w:t>
      </w:r>
    </w:p>
    <w:p>
      <w:pPr>
        <w:pStyle w:val="ListBullet"/>
        <w:spacing w:after="60"/>
        <w:ind w:left="425" w:hanging="198"/>
      </w:pPr>
      <w:r>
        <w:rPr>
          <w:rFonts w:ascii="Arial Unicode MS" w:hAnsi="Arial Unicode MS" w:eastAsia="Arial Unicode MS"/>
          <w:b w:val="0"/>
          <w:color w:val="1D2129"/>
          <w:sz w:val="21"/>
        </w:rPr>
        <w:t>身份认证：密码复杂度、失败锁定、会话超时、停用账号即时失效；是否接入企业SSO待确认。</w:t>
      </w:r>
    </w:p>
    <w:p>
      <w:pPr>
        <w:pStyle w:val="ListBullet"/>
        <w:spacing w:after="60"/>
        <w:ind w:left="425" w:hanging="198"/>
      </w:pPr>
      <w:r>
        <w:rPr>
          <w:rFonts w:ascii="Arial Unicode MS" w:hAnsi="Arial Unicode MS" w:eastAsia="Arial Unicode MS"/>
          <w:b w:val="0"/>
          <w:color w:val="1D2129"/>
          <w:sz w:val="21"/>
        </w:rPr>
        <w:t>传输与存储：生产环境使用HTTPS；数据库凭据、邮箱凭据和接口密钥集中管理，不写入前端。</w:t>
      </w:r>
    </w:p>
    <w:p>
      <w:pPr>
        <w:pStyle w:val="ListBullet"/>
        <w:spacing w:after="60"/>
        <w:ind w:left="425" w:hanging="198"/>
      </w:pPr>
      <w:r>
        <w:rPr>
          <w:rFonts w:ascii="Arial Unicode MS" w:hAnsi="Arial Unicode MS" w:eastAsia="Arial Unicode MS"/>
          <w:b w:val="0"/>
          <w:color w:val="1D2129"/>
          <w:sz w:val="21"/>
        </w:rPr>
        <w:t>文件安全：限制扩展名与大小，检测损坏、宏和恶意内容；原始文件下载受权限控制。</w:t>
      </w:r>
    </w:p>
    <w:p>
      <w:pPr>
        <w:pStyle w:val="ListBullet"/>
        <w:spacing w:after="60"/>
        <w:ind w:left="425" w:hanging="198"/>
      </w:pPr>
      <w:r>
        <w:rPr>
          <w:rFonts w:ascii="Arial Unicode MS" w:hAnsi="Arial Unicode MS" w:eastAsia="Arial Unicode MS"/>
          <w:b w:val="0"/>
          <w:color w:val="1D2129"/>
          <w:sz w:val="21"/>
        </w:rPr>
        <w:t>数据隔离：服务端实施组织数据权限，禁止仅依赖前端隐藏。</w:t>
      </w:r>
    </w:p>
    <w:p>
      <w:pPr>
        <w:pStyle w:val="ListBullet"/>
        <w:spacing w:after="60"/>
        <w:ind w:left="425" w:hanging="198"/>
      </w:pPr>
      <w:r>
        <w:rPr>
          <w:rFonts w:ascii="Arial Unicode MS" w:hAnsi="Arial Unicode MS" w:eastAsia="Arial Unicode MS"/>
          <w:b w:val="0"/>
          <w:color w:val="1D2129"/>
          <w:sz w:val="21"/>
        </w:rPr>
        <w:t>敏感操作：批量通过、驳回、覆盖、删除、角色修改和导出需要二次确认与审计。</w:t>
      </w:r>
    </w:p>
    <w:p>
      <w:pPr>
        <w:pStyle w:val="ListBullet"/>
        <w:spacing w:after="60"/>
        <w:ind w:left="425" w:hanging="198"/>
      </w:pPr>
      <w:r>
        <w:rPr>
          <w:rFonts w:ascii="Arial Unicode MS" w:hAnsi="Arial Unicode MS" w:eastAsia="Arial Unicode MS"/>
          <w:b w:val="0"/>
          <w:color w:val="1D2129"/>
          <w:sz w:val="21"/>
        </w:rPr>
        <w:t>备份恢复：数据库与文件存储制定备份、恢复和恢复演练机制。</w:t>
      </w:r>
    </w:p>
    <w:p>
      <w:pPr>
        <w:pStyle w:val="Heading2"/>
      </w:pPr>
      <w:r>
        <w:t>6.3 审计日志</w:t>
      </w:r>
    </w:p>
    <w:tbl>
      <w:tblPr>
        <w:tblStyle w:val="TableGrid"/>
        <w:tblW w:type="dxa" w:w="9468"/>
        <w:jc w:val="center"/>
        <w:tblLayout w:type="fixed"/>
        <w:tblLook w:firstColumn="1" w:firstRow="1" w:lastColumn="0" w:lastRow="0" w:noHBand="0" w:noVBand="1" w:val="04A0"/>
      </w:tblPr>
      <w:tblGrid>
        <w:gridCol w:w="1814"/>
        <w:gridCol w:w="4649"/>
        <w:gridCol w:w="3005"/>
      </w:tblGrid>
      <w:tr>
        <w:trPr>
          <w:tblHeader w:val="true"/>
          <w:cantSplit w:val="true"/>
        </w:trPr>
        <w:tc>
          <w:tcPr>
            <w:tcW w:type="dxa" w:w="181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日志类型</w:t>
            </w:r>
          </w:p>
        </w:tc>
        <w:tc>
          <w:tcPr>
            <w:tcW w:type="dxa" w:w="464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记录内容</w:t>
            </w:r>
          </w:p>
        </w:tc>
        <w:tc>
          <w:tcPr>
            <w:tcW w:type="dxa" w:w="300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检索维度</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登录登出</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账号、时间、结果、来源IP/设备（部署支持时）</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日期、用户、结果</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业务操作</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模块、动作、目标、结果、备注</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用户、模块、动作、单据号</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数据修改</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字段、修改前值、修改后值、原因</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文件/门店/明细、操作者</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审批流转</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前后状态、处理意见、责任人</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批次、单据、状态</w:t>
            </w:r>
          </w:p>
        </w:tc>
      </w:tr>
      <w:tr>
        <w:trPr>
          <w:cantSplit w:val="true"/>
        </w:trPr>
        <w:tc>
          <w:tcPr>
            <w:tcW w:type="dxa" w:w="1814"/>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配置变更</w:t>
            </w:r>
          </w:p>
        </w:tc>
        <w:tc>
          <w:tcPr>
            <w:tcW w:type="dxa" w:w="464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角色、权限、字段规则和系统配置前后值</w:t>
            </w:r>
          </w:p>
        </w:tc>
        <w:tc>
          <w:tcPr>
            <w:tcW w:type="dxa" w:w="3005"/>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配置项、管理员、日期</w:t>
            </w:r>
          </w:p>
        </w:tc>
      </w:tr>
      <w:tr>
        <w:trPr>
          <w:cantSplit w:val="true"/>
        </w:trPr>
        <w:tc>
          <w:tcPr>
            <w:tcW w:type="dxa" w:w="181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导出</w:t>
            </w:r>
          </w:p>
        </w:tc>
        <w:tc>
          <w:tcPr>
            <w:tcW w:type="dxa" w:w="464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导出人、条件、范围、文件名和结果</w:t>
            </w:r>
          </w:p>
        </w:tc>
        <w:tc>
          <w:tcPr>
            <w:tcW w:type="dxa" w:w="300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用户、模块、日期</w:t>
            </w:r>
          </w:p>
        </w:tc>
      </w:tr>
    </w:tbl>
    <w:p>
      <w:pPr>
        <w:spacing w:after="20"/>
      </w:pPr>
    </w:p>
    <w:p>
      <w:r>
        <w:br w:type="page"/>
      </w:r>
    </w:p>
    <w:p>
      <w:pPr>
        <w:pStyle w:val="Heading1"/>
      </w:pPr>
      <w:r>
        <w:t>7. 非功能需求蓝图</w:t>
      </w:r>
    </w:p>
    <w:tbl>
      <w:tblPr>
        <w:tblStyle w:val="TableGrid"/>
        <w:tblW w:type="dxa" w:w="9468"/>
        <w:jc w:val="center"/>
        <w:tblLayout w:type="fixed"/>
        <w:tblLook w:firstColumn="1" w:firstRow="1" w:lastColumn="0" w:lastRow="0" w:noHBand="0" w:noVBand="1" w:val="04A0"/>
      </w:tblPr>
      <w:tblGrid>
        <w:gridCol w:w="1417"/>
        <w:gridCol w:w="5159"/>
        <w:gridCol w:w="2891"/>
      </w:tblGrid>
      <w:tr>
        <w:trPr>
          <w:tblHeader w:val="true"/>
          <w:cantSplit w:val="true"/>
        </w:trPr>
        <w:tc>
          <w:tcPr>
            <w:tcW w:type="dxa" w:w="141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类别</w:t>
            </w:r>
          </w:p>
        </w:tc>
        <w:tc>
          <w:tcPr>
            <w:tcW w:type="dxa" w:w="515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一阶段基线要求</w:t>
            </w:r>
          </w:p>
        </w:tc>
        <w:tc>
          <w:tcPr>
            <w:tcW w:type="dxa" w:w="289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验证方式</w:t>
            </w:r>
          </w:p>
        </w:tc>
      </w:tr>
      <w:tr>
        <w:trPr>
          <w:cantSplit w:val="true"/>
        </w:trPr>
        <w:tc>
          <w:tcPr>
            <w:tcW w:type="dxa" w:w="141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性能</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常用列表查询、筛选和详情在正常网络与目标数据量下保持可接受响应；大批量任务异步执行并可查看进度</w:t>
            </w:r>
          </w:p>
        </w:tc>
        <w:tc>
          <w:tcPr>
            <w:tcW w:type="dxa" w:w="289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性能测试、任务并发测试；具体指标待容量确认</w:t>
            </w:r>
          </w:p>
        </w:tc>
      </w:tr>
      <w:tr>
        <w:trPr>
          <w:cantSplit w:val="true"/>
        </w:trPr>
        <w:tc>
          <w:tcPr>
            <w:tcW w:type="dxa" w:w="141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可用性</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关键任务失败可重试；页面刷新不造成重复提交；状态和错误提示清晰</w:t>
            </w:r>
          </w:p>
        </w:tc>
        <w:tc>
          <w:tcPr>
            <w:tcW w:type="dxa" w:w="289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异常注入、幂等测试、用户体验走查</w:t>
            </w:r>
          </w:p>
        </w:tc>
      </w:tr>
      <w:tr>
        <w:trPr>
          <w:cantSplit w:val="true"/>
        </w:trPr>
        <w:tc>
          <w:tcPr>
            <w:tcW w:type="dxa" w:w="141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可扩展性</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字段、别名、规则、组织范围和文件模板尽量配置化；预留外部接口扩展点</w:t>
            </w:r>
          </w:p>
        </w:tc>
        <w:tc>
          <w:tcPr>
            <w:tcW w:type="dxa" w:w="289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新增模板/字段验证</w:t>
            </w:r>
          </w:p>
        </w:tc>
      </w:tr>
      <w:tr>
        <w:trPr>
          <w:cantSplit w:val="true"/>
        </w:trPr>
        <w:tc>
          <w:tcPr>
            <w:tcW w:type="dxa" w:w="141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可维护性</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模块化日志、任务追踪、配置变更审计、环境参数分离</w:t>
            </w:r>
          </w:p>
        </w:tc>
        <w:tc>
          <w:tcPr>
            <w:tcW w:type="dxa" w:w="289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运维手册和故障演练</w:t>
            </w:r>
          </w:p>
        </w:tc>
      </w:tr>
      <w:tr>
        <w:trPr>
          <w:cantSplit w:val="true"/>
        </w:trPr>
        <w:tc>
          <w:tcPr>
            <w:tcW w:type="dxa" w:w="141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兼容性</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支持企业标准桌面浏览器；Excel/PDF/ZIP以样本库验证</w:t>
            </w:r>
          </w:p>
        </w:tc>
        <w:tc>
          <w:tcPr>
            <w:tcW w:type="dxa" w:w="289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浏览器矩阵与文件样本回归</w:t>
            </w:r>
          </w:p>
        </w:tc>
      </w:tr>
      <w:tr>
        <w:trPr>
          <w:cantSplit w:val="true"/>
        </w:trPr>
        <w:tc>
          <w:tcPr>
            <w:tcW w:type="dxa" w:w="141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可访问性</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表单标签、键盘操作、焦点状态、颜色对比和明确错误信息</w:t>
            </w:r>
          </w:p>
        </w:tc>
        <w:tc>
          <w:tcPr>
            <w:tcW w:type="dxa" w:w="289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键盘与可访问性检查</w:t>
            </w:r>
          </w:p>
        </w:tc>
      </w:tr>
      <w:tr>
        <w:trPr>
          <w:cantSplit w:val="true"/>
        </w:trPr>
        <w:tc>
          <w:tcPr>
            <w:tcW w:type="dxa" w:w="141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国际化</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中文/韩文资源分离，界面切换不影响数据与权限</w:t>
            </w:r>
          </w:p>
        </w:tc>
        <w:tc>
          <w:tcPr>
            <w:tcW w:type="dxa" w:w="289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双语页面回归</w:t>
            </w:r>
          </w:p>
        </w:tc>
      </w:tr>
      <w:tr>
        <w:trPr>
          <w:cantSplit w:val="true"/>
        </w:trPr>
        <w:tc>
          <w:tcPr>
            <w:tcW w:type="dxa" w:w="141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数据质量</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标准字段、映射、规则和异常原因可解释、可追溯</w:t>
            </w:r>
          </w:p>
        </w:tc>
        <w:tc>
          <w:tcPr>
            <w:tcW w:type="dxa" w:w="289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抽样对账与规则命中核验</w:t>
            </w:r>
          </w:p>
        </w:tc>
      </w:tr>
    </w:tbl>
    <w:p>
      <w:pPr>
        <w:spacing w:after="20"/>
      </w:pPr>
    </w:p>
    <w:tbl>
      <w:tblPr>
        <w:tblW w:type="dxa" w:w="9468"/>
        <w:tblLayout w:type="fixed"/>
        <w:tblLook w:firstColumn="1" w:firstRow="1" w:lastColumn="0" w:lastRow="0" w:noHBand="0" w:noVBand="1" w:val="04A0"/>
      </w:tblPr>
      <w:tblGrid>
        <w:gridCol w:w="9468"/>
      </w:tblGrid>
      <w:tr>
        <w:tc>
          <w:tcPr>
            <w:tcW w:type="dxa" w:w="9468"/>
            <w:shd w:fill="EAF3FF"/>
            <w:tcMar>
              <w:top w:w="140" w:type="dxa"/>
              <w:start w:w="180" w:type="dxa"/>
              <w:bottom w:w="140" w:type="dxa"/>
              <w:end w:w="180" w:type="dxa"/>
            </w:tcMar>
          </w:tcPr>
          <w:p>
            <w:r>
              <w:rPr>
                <w:rFonts w:ascii="Arial Unicode MS" w:hAnsi="Arial Unicode MS" w:eastAsia="Arial Unicode MS"/>
                <w:b/>
                <w:color w:val="155EEF"/>
                <w:sz w:val="21"/>
              </w:rPr>
              <w:t>容量假设：</w:t>
            </w:r>
            <w:r>
              <w:rPr>
                <w:rFonts w:ascii="Arial Unicode MS" w:hAnsi="Arial Unicode MS" w:eastAsia="Arial Unicode MS"/>
                <w:b w:val="0"/>
                <w:color w:val="1D2129"/>
                <w:sz w:val="21"/>
              </w:rPr>
              <w:t>参考资料提到月度文件量可能达到4,000+。该数字需由业务再次确认，并据此确定单文件大小、并发上传、月度明细量、历史保留年限和性能验收指标。</w:t>
            </w:r>
          </w:p>
        </w:tc>
      </w:tr>
    </w:tbl>
    <w:p>
      <w:pPr>
        <w:spacing w:after="20"/>
      </w:pPr>
    </w:p>
    <w:p>
      <w:r>
        <w:br w:type="page"/>
      </w:r>
    </w:p>
    <w:p>
      <w:pPr>
        <w:pStyle w:val="Heading1"/>
      </w:pPr>
      <w:r>
        <w:t>8. 一阶段实施计划</w:t>
      </w:r>
    </w:p>
    <w:p>
      <w:pPr>
        <w:pStyle w:val="Heading2"/>
      </w:pPr>
      <w:r>
        <w:t>8.1 实施策略</w:t>
      </w:r>
    </w:p>
    <w:p>
      <w:pPr>
        <w:spacing w:line="360" w:lineRule="auto"/>
        <w:ind w:firstLine="420"/>
      </w:pPr>
      <w:r>
        <w:rPr>
          <w:rFonts w:ascii="Arial Unicode MS" w:hAnsi="Arial Unicode MS" w:eastAsia="Arial Unicode MS"/>
          <w:b w:val="0"/>
          <w:color w:val="1D2129"/>
          <w:sz w:val="21"/>
        </w:rPr>
        <w:t>建议采用“蓝图确认—详细设计—核心流程开发—试点验证—并行核对—分批上线”的方式实施。计划以相对周次W1–W12表达，正式启动日期确认后再转换为日历计划；如外部接口、主数据清洗或文件样本复杂度超出假设，应通过变更流程调整。</w:t>
      </w:r>
    </w:p>
    <w:p>
      <w:pPr>
        <w:pStyle w:val="Heading2"/>
      </w:pPr>
      <w:r>
        <w:t>8.2 阶段计划（建议基线）</w:t>
      </w:r>
    </w:p>
    <w:tbl>
      <w:tblPr>
        <w:tblStyle w:val="TableGrid"/>
        <w:tblW w:type="dxa" w:w="9468"/>
        <w:jc w:val="center"/>
        <w:tblLayout w:type="fixed"/>
        <w:tblLook w:firstColumn="1" w:firstRow="1" w:lastColumn="0" w:lastRow="0" w:noHBand="0" w:noVBand="1" w:val="04A0"/>
      </w:tblPr>
      <w:tblGrid>
        <w:gridCol w:w="1474"/>
        <w:gridCol w:w="1134"/>
        <w:gridCol w:w="4422"/>
        <w:gridCol w:w="2438"/>
      </w:tblGrid>
      <w:tr>
        <w:trPr>
          <w:tblHeader w:val="true"/>
          <w:cantSplit w:val="true"/>
        </w:trPr>
        <w:tc>
          <w:tcPr>
            <w:tcW w:type="dxa" w:w="147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阶段</w:t>
            </w:r>
          </w:p>
        </w:tc>
        <w:tc>
          <w:tcPr>
            <w:tcW w:type="dxa" w:w="113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周次</w:t>
            </w:r>
          </w:p>
        </w:tc>
        <w:tc>
          <w:tcPr>
            <w:tcW w:type="dxa" w:w="442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主要工作</w:t>
            </w:r>
          </w:p>
        </w:tc>
        <w:tc>
          <w:tcPr>
            <w:tcW w:type="dxa" w:w="243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里程碑/输出</w:t>
            </w:r>
          </w:p>
        </w:tc>
      </w:tr>
      <w:tr>
        <w:trPr>
          <w:cantSplit w:val="true"/>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1. 蓝图确认</w:t>
            </w:r>
          </w:p>
        </w:tc>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W1–W2</w:t>
            </w:r>
          </w:p>
        </w:tc>
        <w:tc>
          <w:tcPr>
            <w:tcW w:type="dxa" w:w="442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业务访谈、样本盘点、范围/流程/字段/规则确认、原型评审</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蓝图签署、待确认项关闭清单</w:t>
            </w:r>
          </w:p>
        </w:tc>
      </w:tr>
      <w:tr>
        <w:trPr>
          <w:cantSplit w:val="true"/>
        </w:trPr>
        <w:tc>
          <w:tcPr>
            <w:tcW w:type="dxa" w:w="147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2. 详细设计</w:t>
            </w:r>
          </w:p>
        </w:tc>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W3</w:t>
            </w:r>
          </w:p>
        </w:tc>
        <w:tc>
          <w:tcPr>
            <w:tcW w:type="dxa" w:w="442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数据模型、接口、任务、权限、日志、异常和页面详细设计</w:t>
            </w:r>
          </w:p>
        </w:tc>
        <w:tc>
          <w:tcPr>
            <w:tcW w:type="dxa" w:w="243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详细设计与测试策略评审</w:t>
            </w:r>
          </w:p>
        </w:tc>
      </w:tr>
      <w:tr>
        <w:trPr>
          <w:cantSplit w:val="true"/>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3. 核心开发</w:t>
            </w:r>
          </w:p>
        </w:tc>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W4–W7</w:t>
            </w:r>
          </w:p>
        </w:tc>
        <w:tc>
          <w:tcPr>
            <w:tcW w:type="dxa" w:w="442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文件接入、解析匹配、质量检查、工作流、台账、权限</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核心流程联调版本</w:t>
            </w:r>
          </w:p>
        </w:tc>
      </w:tr>
      <w:tr>
        <w:trPr>
          <w:cantSplit w:val="true"/>
        </w:trPr>
        <w:tc>
          <w:tcPr>
            <w:tcW w:type="dxa" w:w="147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4. 分析与治理</w:t>
            </w:r>
          </w:p>
        </w:tc>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W6–W8</w:t>
            </w:r>
          </w:p>
        </w:tc>
        <w:tc>
          <w:tcPr>
            <w:tcW w:type="dxa" w:w="442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首页、数据分析、字段配置、系统日志、导出、多语言</w:t>
            </w:r>
          </w:p>
        </w:tc>
        <w:tc>
          <w:tcPr>
            <w:tcW w:type="dxa" w:w="243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功能完整版本</w:t>
            </w:r>
          </w:p>
        </w:tc>
      </w:tr>
      <w:tr>
        <w:trPr>
          <w:cantSplit w:val="true"/>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5. 测试整改</w:t>
            </w:r>
          </w:p>
        </w:tc>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W8–W10</w:t>
            </w:r>
          </w:p>
        </w:tc>
        <w:tc>
          <w:tcPr>
            <w:tcW w:type="dxa" w:w="442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单元/集成/系统/安全/性能测试，样本回归和缺陷整改</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SIT通过、UAT候选版本</w:t>
            </w:r>
          </w:p>
        </w:tc>
      </w:tr>
      <w:tr>
        <w:trPr>
          <w:cantSplit w:val="true"/>
        </w:trPr>
        <w:tc>
          <w:tcPr>
            <w:tcW w:type="dxa" w:w="1474"/>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6. UAT与试点</w:t>
            </w:r>
          </w:p>
        </w:tc>
        <w:tc>
          <w:tcPr>
            <w:tcW w:type="dxa" w:w="113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W10–W11</w:t>
            </w:r>
          </w:p>
        </w:tc>
        <w:tc>
          <w:tcPr>
            <w:tcW w:type="dxa" w:w="442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代表区域和模板试点、业务并行核对、培训、上线演练</w:t>
            </w:r>
          </w:p>
        </w:tc>
        <w:tc>
          <w:tcPr>
            <w:tcW w:type="dxa" w:w="243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UAT签署、上线审批</w:t>
            </w:r>
          </w:p>
        </w:tc>
      </w:tr>
      <w:tr>
        <w:trPr>
          <w:cantSplit w:val="true"/>
        </w:trPr>
        <w:tc>
          <w:tcPr>
            <w:tcW w:type="dxa" w:w="1474"/>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7. 上线与护航</w:t>
            </w:r>
          </w:p>
        </w:tc>
        <w:tc>
          <w:tcPr>
            <w:tcW w:type="dxa" w:w="113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W12</w:t>
            </w:r>
          </w:p>
        </w:tc>
        <w:tc>
          <w:tcPr>
            <w:tcW w:type="dxa" w:w="442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分批上线、数据初始化、监控、问题响应和复盘</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生产验收、运维移交</w:t>
            </w:r>
          </w:p>
        </w:tc>
      </w:tr>
    </w:tbl>
    <w:p>
      <w:pPr>
        <w:spacing w:after="20"/>
      </w:pPr>
    </w:p>
    <w:p>
      <w:pPr>
        <w:pStyle w:val="Heading2"/>
      </w:pPr>
      <w:r>
        <w:t>8.3 关键里程碑</w:t>
      </w:r>
    </w:p>
    <w:tbl>
      <w:tblPr>
        <w:tblStyle w:val="TableGrid"/>
        <w:tblW w:type="dxa" w:w="9468"/>
        <w:jc w:val="center"/>
        <w:tblLayout w:type="fixed"/>
        <w:tblLook w:firstColumn="1" w:firstRow="1" w:lastColumn="0" w:lastRow="0" w:noHBand="0" w:noVBand="1" w:val="04A0"/>
      </w:tblPr>
      <w:tblGrid>
        <w:gridCol w:w="1871"/>
        <w:gridCol w:w="5159"/>
        <w:gridCol w:w="2438"/>
      </w:tblGrid>
      <w:tr>
        <w:trPr>
          <w:tblHeader w:val="true"/>
          <w:cantSplit w:val="true"/>
        </w:trPr>
        <w:tc>
          <w:tcPr>
            <w:tcW w:type="dxa" w:w="187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里程碑</w:t>
            </w:r>
          </w:p>
        </w:tc>
        <w:tc>
          <w:tcPr>
            <w:tcW w:type="dxa" w:w="5159"/>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完成标准</w:t>
            </w:r>
          </w:p>
        </w:tc>
        <w:tc>
          <w:tcPr>
            <w:tcW w:type="dxa" w:w="243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建议责任方</w:t>
            </w:r>
          </w:p>
        </w:tc>
      </w:tr>
      <w:tr>
        <w:trPr>
          <w:cantSplit w:val="true"/>
        </w:trPr>
        <w:tc>
          <w:tcPr>
            <w:tcW w:type="dxa" w:w="187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M1 蓝图冻结</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范围、流程、字段、角色、外部依赖和验收原则经业务签署</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业务负责人/项目经理</w:t>
            </w:r>
          </w:p>
        </w:tc>
      </w:tr>
      <w:tr>
        <w:trPr>
          <w:cantSplit w:val="true"/>
        </w:trPr>
        <w:tc>
          <w:tcPr>
            <w:tcW w:type="dxa" w:w="187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M2 核心链路贯通</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代表性文件从接入到台账全流程可运行并可追溯</w:t>
            </w:r>
          </w:p>
        </w:tc>
        <w:tc>
          <w:tcPr>
            <w:tcW w:type="dxa" w:w="243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产品/开发/测试</w:t>
            </w:r>
          </w:p>
        </w:tc>
      </w:tr>
      <w:tr>
        <w:trPr>
          <w:cantSplit w:val="true"/>
        </w:trPr>
        <w:tc>
          <w:tcPr>
            <w:tcW w:type="dxa" w:w="187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M3 SIT通过</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阻断性缺陷清零，主要场景和样本回归通过</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测试负责人</w:t>
            </w:r>
          </w:p>
        </w:tc>
      </w:tr>
      <w:tr>
        <w:trPr>
          <w:cantSplit w:val="true"/>
        </w:trPr>
        <w:tc>
          <w:tcPr>
            <w:tcW w:type="dxa" w:w="187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M4 UAT通过</w:t>
            </w:r>
          </w:p>
        </w:tc>
        <w:tc>
          <w:tcPr>
            <w:tcW w:type="dxa" w:w="5159"/>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业务关键用户完成场景验证与数据抽检并签署</w:t>
            </w:r>
          </w:p>
        </w:tc>
        <w:tc>
          <w:tcPr>
            <w:tcW w:type="dxa" w:w="243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业务负责人/关键用户</w:t>
            </w:r>
          </w:p>
        </w:tc>
      </w:tr>
      <w:tr>
        <w:trPr>
          <w:cantSplit w:val="true"/>
        </w:trPr>
        <w:tc>
          <w:tcPr>
            <w:tcW w:type="dxa" w:w="1871"/>
            <w:tcMar>
              <w:top w:w="100" w:type="dxa"/>
              <w:start w:w="120" w:type="dxa"/>
              <w:bottom w:w="100" w:type="dxa"/>
              <w:end w:w="120" w:type="dxa"/>
            </w:tcMar>
            <w:vAlign w:val="center"/>
          </w:tcPr>
          <w:p>
            <w:pPr>
              <w:jc w:val="center"/>
            </w:pPr>
            <w:r>
              <w:rPr>
                <w:rFonts w:ascii="Arial Unicode MS" w:hAnsi="Arial Unicode MS" w:eastAsia="Arial Unicode MS"/>
                <w:b w:val="0"/>
                <w:color w:val="1D2129"/>
                <w:sz w:val="18"/>
              </w:rPr>
              <w:t>M5 生产验收</w:t>
            </w:r>
          </w:p>
        </w:tc>
        <w:tc>
          <w:tcPr>
            <w:tcW w:type="dxa" w:w="5159"/>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上线稳定期完成、问题闭环、文档和运维移交完成</w:t>
            </w:r>
          </w:p>
        </w:tc>
        <w:tc>
          <w:tcPr>
            <w:tcW w:type="dxa" w:w="2438"/>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项目委员会/运维</w:t>
            </w:r>
          </w:p>
        </w:tc>
      </w:tr>
    </w:tbl>
    <w:p>
      <w:pPr>
        <w:spacing w:after="20"/>
      </w:pPr>
    </w:p>
    <w:p>
      <w:pPr>
        <w:pStyle w:val="Heading2"/>
      </w:pPr>
      <w:r>
        <w:t>8.4 主要交付物</w:t>
      </w:r>
    </w:p>
    <w:p>
      <w:pPr>
        <w:pStyle w:val="ListBullet"/>
        <w:spacing w:after="60"/>
        <w:ind w:left="425" w:hanging="198"/>
      </w:pPr>
      <w:r>
        <w:rPr>
          <w:rFonts w:ascii="Arial Unicode MS" w:hAnsi="Arial Unicode MS" w:eastAsia="Arial Unicode MS"/>
          <w:b w:val="0"/>
          <w:color w:val="1D2129"/>
          <w:sz w:val="21"/>
        </w:rPr>
        <w:t>项目一阶段蓝图计划书及评审纪要；</w:t>
      </w:r>
    </w:p>
    <w:p>
      <w:pPr>
        <w:pStyle w:val="ListBullet"/>
        <w:spacing w:after="60"/>
        <w:ind w:left="425" w:hanging="198"/>
      </w:pPr>
      <w:r>
        <w:rPr>
          <w:rFonts w:ascii="Arial Unicode MS" w:hAnsi="Arial Unicode MS" w:eastAsia="Arial Unicode MS"/>
          <w:b w:val="0"/>
          <w:color w:val="1D2129"/>
          <w:sz w:val="21"/>
        </w:rPr>
        <w:t>业务需求/功能清单、字段字典、质量规则清单、状态流转与权限矩阵；</w:t>
      </w:r>
    </w:p>
    <w:p>
      <w:pPr>
        <w:pStyle w:val="ListBullet"/>
        <w:spacing w:after="60"/>
        <w:ind w:left="425" w:hanging="198"/>
      </w:pPr>
      <w:r>
        <w:rPr>
          <w:rFonts w:ascii="Arial Unicode MS" w:hAnsi="Arial Unicode MS" w:eastAsia="Arial Unicode MS"/>
          <w:b w:val="0"/>
          <w:color w:val="1D2129"/>
          <w:sz w:val="21"/>
        </w:rPr>
        <w:t>详细设计说明、数据模型、接口说明和部署架构；</w:t>
      </w:r>
    </w:p>
    <w:p>
      <w:pPr>
        <w:pStyle w:val="ListBullet"/>
        <w:spacing w:after="60"/>
        <w:ind w:left="425" w:hanging="198"/>
      </w:pPr>
      <w:r>
        <w:rPr>
          <w:rFonts w:ascii="Arial Unicode MS" w:hAnsi="Arial Unicode MS" w:eastAsia="Arial Unicode MS"/>
          <w:b w:val="0"/>
          <w:color w:val="1D2129"/>
          <w:sz w:val="21"/>
        </w:rPr>
        <w:t>可部署的软件版本、数据库脚本、配置和初始化工具；</w:t>
      </w:r>
    </w:p>
    <w:p>
      <w:pPr>
        <w:pStyle w:val="ListBullet"/>
        <w:spacing w:after="60"/>
        <w:ind w:left="425" w:hanging="198"/>
      </w:pPr>
      <w:r>
        <w:rPr>
          <w:rFonts w:ascii="Arial Unicode MS" w:hAnsi="Arial Unicode MS" w:eastAsia="Arial Unicode MS"/>
          <w:b w:val="0"/>
          <w:color w:val="1D2129"/>
          <w:sz w:val="21"/>
        </w:rPr>
        <w:t>测试计划、测试用例、测试报告、性能/安全验证记录；</w:t>
      </w:r>
    </w:p>
    <w:p>
      <w:pPr>
        <w:pStyle w:val="ListBullet"/>
        <w:spacing w:after="60"/>
        <w:ind w:left="425" w:hanging="198"/>
      </w:pPr>
      <w:r>
        <w:rPr>
          <w:rFonts w:ascii="Arial Unicode MS" w:hAnsi="Arial Unicode MS" w:eastAsia="Arial Unicode MS"/>
          <w:b w:val="0"/>
          <w:color w:val="1D2129"/>
          <w:sz w:val="21"/>
        </w:rPr>
        <w:t>UAT记录、上线方案、回退方案、培训材料、用户手册和运维手册；</w:t>
      </w:r>
    </w:p>
    <w:p>
      <w:pPr>
        <w:pStyle w:val="ListBullet"/>
        <w:spacing w:after="60"/>
        <w:ind w:left="425" w:hanging="198"/>
      </w:pPr>
      <w:r>
        <w:rPr>
          <w:rFonts w:ascii="Arial Unicode MS" w:hAnsi="Arial Unicode MS" w:eastAsia="Arial Unicode MS"/>
          <w:b w:val="0"/>
          <w:color w:val="1D2129"/>
          <w:sz w:val="21"/>
        </w:rPr>
        <w:t>问题清单、已知限制、上线后支持与移交记录。</w:t>
      </w:r>
    </w:p>
    <w:p>
      <w:pPr>
        <w:pStyle w:val="Heading2"/>
      </w:pPr>
      <w:r>
        <w:t>8.5 项目职责建议（RACI）</w:t>
      </w:r>
    </w:p>
    <w:tbl>
      <w:tblPr>
        <w:tblStyle w:val="TableGrid"/>
        <w:tblW w:type="dxa" w:w="9468"/>
        <w:jc w:val="center"/>
        <w:tblLayout w:type="fixed"/>
        <w:tblLook w:firstColumn="1" w:firstRow="1" w:lastColumn="0" w:lastRow="0" w:noHBand="0" w:noVBand="1" w:val="04A0"/>
      </w:tblPr>
      <w:tblGrid>
        <w:gridCol w:w="2835"/>
        <w:gridCol w:w="1701"/>
        <w:gridCol w:w="1984"/>
        <w:gridCol w:w="1644"/>
        <w:gridCol w:w="1304"/>
      </w:tblGrid>
      <w:tr>
        <w:trPr>
          <w:tblHeader w:val="true"/>
          <w:cantSplit w:val="true"/>
        </w:trPr>
        <w:tc>
          <w:tcPr>
            <w:tcW w:type="dxa" w:w="283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工作项</w:t>
            </w:r>
          </w:p>
        </w:tc>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业务负责人</w:t>
            </w:r>
          </w:p>
        </w:tc>
        <w:tc>
          <w:tcPr>
            <w:tcW w:type="dxa" w:w="19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POS担当/营业担当</w:t>
            </w:r>
          </w:p>
        </w:tc>
        <w:tc>
          <w:tcPr>
            <w:tcW w:type="dxa" w:w="164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项目团队</w:t>
            </w:r>
          </w:p>
        </w:tc>
        <w:tc>
          <w:tcPr>
            <w:tcW w:type="dxa" w:w="130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运维/安全</w:t>
            </w:r>
          </w:p>
        </w:tc>
      </w:tr>
      <w:tr>
        <w:trPr>
          <w:cantSplit w:val="true"/>
        </w:trPr>
        <w:tc>
          <w:tcPr>
            <w:tcW w:type="dxa" w:w="2835"/>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范围与口径确认</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w:t>
            </w:r>
          </w:p>
        </w:tc>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R/C</w:t>
            </w:r>
          </w:p>
        </w:tc>
        <w:tc>
          <w:tcPr>
            <w:tcW w:type="dxa" w:w="164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R/C</w:t>
            </w:r>
          </w:p>
        </w:tc>
        <w:tc>
          <w:tcPr>
            <w:tcW w:type="dxa" w:w="130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I</w:t>
            </w:r>
          </w:p>
        </w:tc>
      </w:tr>
      <w:tr>
        <w:trPr>
          <w:cantSplit w:val="true"/>
        </w:trPr>
        <w:tc>
          <w:tcPr>
            <w:tcW w:type="dxa" w:w="2835"/>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样本与主数据提供</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w:t>
            </w:r>
          </w:p>
        </w:tc>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w:t>
            </w:r>
          </w:p>
        </w:tc>
        <w:tc>
          <w:tcPr>
            <w:tcW w:type="dxa" w:w="164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c>
          <w:tcPr>
            <w:tcW w:type="dxa" w:w="130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I</w:t>
            </w:r>
          </w:p>
        </w:tc>
      </w:tr>
      <w:tr>
        <w:trPr>
          <w:cantSplit w:val="true"/>
        </w:trPr>
        <w:tc>
          <w:tcPr>
            <w:tcW w:type="dxa" w:w="2835"/>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设计、开发与测试</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c>
          <w:tcPr>
            <w:tcW w:type="dxa" w:w="164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A/R</w:t>
            </w:r>
          </w:p>
        </w:tc>
        <w:tc>
          <w:tcPr>
            <w:tcW w:type="dxa" w:w="130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r>
      <w:tr>
        <w:trPr>
          <w:cantSplit w:val="true"/>
        </w:trPr>
        <w:tc>
          <w:tcPr>
            <w:tcW w:type="dxa" w:w="2835"/>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UAT与数据抽检</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w:t>
            </w:r>
          </w:p>
        </w:tc>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w:t>
            </w:r>
          </w:p>
        </w:tc>
        <w:tc>
          <w:tcPr>
            <w:tcW w:type="dxa" w:w="164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c>
          <w:tcPr>
            <w:tcW w:type="dxa" w:w="130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I</w:t>
            </w:r>
          </w:p>
        </w:tc>
      </w:tr>
      <w:tr>
        <w:trPr>
          <w:cantSplit w:val="true"/>
        </w:trPr>
        <w:tc>
          <w:tcPr>
            <w:tcW w:type="dxa" w:w="2835"/>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生产部署与安全</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I</w:t>
            </w:r>
          </w:p>
        </w:tc>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I</w:t>
            </w:r>
          </w:p>
        </w:tc>
        <w:tc>
          <w:tcPr>
            <w:tcW w:type="dxa" w:w="164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R/C</w:t>
            </w:r>
          </w:p>
        </w:tc>
        <w:tc>
          <w:tcPr>
            <w:tcW w:type="dxa" w:w="130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A/R</w:t>
            </w:r>
          </w:p>
        </w:tc>
      </w:tr>
      <w:tr>
        <w:trPr>
          <w:cantSplit w:val="true"/>
        </w:trPr>
        <w:tc>
          <w:tcPr>
            <w:tcW w:type="dxa" w:w="2835"/>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上线推广与问题闭环</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w:t>
            </w:r>
          </w:p>
        </w:tc>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w:t>
            </w:r>
          </w:p>
        </w:tc>
        <w:tc>
          <w:tcPr>
            <w:tcW w:type="dxa" w:w="164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R</w:t>
            </w:r>
          </w:p>
        </w:tc>
        <w:tc>
          <w:tcPr>
            <w:tcW w:type="dxa" w:w="130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w:t>
            </w:r>
          </w:p>
        </w:tc>
      </w:tr>
    </w:tbl>
    <w:p>
      <w:pPr>
        <w:spacing w:after="20"/>
      </w:pPr>
    </w:p>
    <w:p>
      <w:pPr>
        <w:spacing w:line="360" w:lineRule="auto"/>
      </w:pPr>
      <w:r>
        <w:rPr>
          <w:rFonts w:ascii="Arial Unicode MS" w:hAnsi="Arial Unicode MS" w:eastAsia="Arial Unicode MS"/>
          <w:b w:val="0"/>
          <w:color w:val="1D2129"/>
          <w:sz w:val="21"/>
        </w:rPr>
        <w:t>注：R=执行负责，A=最终负责，C=协作/咨询，I=知会。正式项目组织确定后应替换为具体部门和人员。</w:t>
      </w:r>
    </w:p>
    <w:p>
      <w:pPr>
        <w:pStyle w:val="Heading2"/>
      </w:pPr>
      <w:r>
        <w:t>8.6 上线与迁移策略</w:t>
      </w:r>
    </w:p>
    <w:p>
      <w:pPr>
        <w:numPr>
          <w:ilvl w:val="0"/>
          <w:numId w:val="12"/>
        </w:numPr>
        <w:spacing w:after="60"/>
        <w:ind w:left="425" w:hanging="198"/>
      </w:pPr>
      <w:r>
        <w:rPr>
          <w:rFonts w:ascii="Arial Unicode MS" w:hAnsi="Arial Unicode MS" w:eastAsia="Arial Unicode MS"/>
          <w:b w:val="0"/>
          <w:color w:val="1D2129"/>
          <w:sz w:val="21"/>
        </w:rPr>
        <w:t>选择文件模板和异常类型具有代表性的区域作为试点，建立样本基线。</w:t>
      </w:r>
    </w:p>
    <w:p>
      <w:pPr>
        <w:numPr>
          <w:ilvl w:val="0"/>
          <w:numId w:val="12"/>
        </w:numPr>
        <w:spacing w:after="60"/>
        <w:ind w:left="425" w:hanging="198"/>
      </w:pPr>
      <w:r>
        <w:rPr>
          <w:rFonts w:ascii="Arial Unicode MS" w:hAnsi="Arial Unicode MS" w:eastAsia="Arial Unicode MS"/>
          <w:b w:val="0"/>
          <w:color w:val="1D2129"/>
          <w:sz w:val="21"/>
        </w:rPr>
        <w:t>准备用户、角色、组织、标准字段、门店/产品映射和规则等初始化数据。</w:t>
      </w:r>
    </w:p>
    <w:p>
      <w:pPr>
        <w:numPr>
          <w:ilvl w:val="0"/>
          <w:numId w:val="12"/>
        </w:numPr>
        <w:spacing w:after="60"/>
        <w:ind w:left="425" w:hanging="198"/>
      </w:pPr>
      <w:r>
        <w:rPr>
          <w:rFonts w:ascii="Arial Unicode MS" w:hAnsi="Arial Unicode MS" w:eastAsia="Arial Unicode MS"/>
          <w:b w:val="0"/>
          <w:color w:val="1D2129"/>
          <w:sz w:val="21"/>
        </w:rPr>
        <w:t>对需要迁移的历史文件分批执行预检、解析、质检和抽样对账，不直接绕过质量流程。</w:t>
      </w:r>
    </w:p>
    <w:p>
      <w:pPr>
        <w:numPr>
          <w:ilvl w:val="0"/>
          <w:numId w:val="12"/>
        </w:numPr>
        <w:spacing w:after="60"/>
        <w:ind w:left="425" w:hanging="198"/>
      </w:pPr>
      <w:r>
        <w:rPr>
          <w:rFonts w:ascii="Arial Unicode MS" w:hAnsi="Arial Unicode MS" w:eastAsia="Arial Unicode MS"/>
          <w:b w:val="0"/>
          <w:color w:val="1D2129"/>
          <w:sz w:val="21"/>
        </w:rPr>
        <w:t>试点期与原人工流程并行核对至少一个业务周期或经业务批准的周期。</w:t>
      </w:r>
    </w:p>
    <w:p>
      <w:pPr>
        <w:numPr>
          <w:ilvl w:val="0"/>
          <w:numId w:val="12"/>
        </w:numPr>
        <w:spacing w:after="60"/>
        <w:ind w:left="425" w:hanging="198"/>
      </w:pPr>
      <w:r>
        <w:rPr>
          <w:rFonts w:ascii="Arial Unicode MS" w:hAnsi="Arial Unicode MS" w:eastAsia="Arial Unicode MS"/>
          <w:b w:val="0"/>
          <w:color w:val="1D2129"/>
          <w:sz w:val="21"/>
        </w:rPr>
        <w:t>达到UAT与数据抽检标准后分批扩围；上线窗口准备回退方案、联系人和问题分级机制。</w:t>
      </w:r>
    </w:p>
    <w:p>
      <w:pPr>
        <w:numPr>
          <w:ilvl w:val="0"/>
          <w:numId w:val="12"/>
        </w:numPr>
        <w:spacing w:after="60"/>
        <w:ind w:left="425" w:hanging="198"/>
      </w:pPr>
      <w:r>
        <w:rPr>
          <w:rFonts w:ascii="Arial Unicode MS" w:hAnsi="Arial Unicode MS" w:eastAsia="Arial Unicode MS"/>
          <w:b w:val="0"/>
          <w:color w:val="1D2129"/>
          <w:sz w:val="21"/>
        </w:rPr>
        <w:t>上线后设置护航期，跟踪解析成功率、异常量、人工介入、处理时长和用户问题。</w:t>
      </w:r>
    </w:p>
    <w:p>
      <w:r>
        <w:br w:type="page"/>
      </w:r>
    </w:p>
    <w:p>
      <w:pPr>
        <w:pStyle w:val="Heading1"/>
      </w:pPr>
      <w:r>
        <w:t>9. 测试与验收方案</w:t>
      </w:r>
    </w:p>
    <w:p>
      <w:pPr>
        <w:pStyle w:val="Heading2"/>
      </w:pPr>
      <w:r>
        <w:t>9.1 测试范围</w:t>
      </w:r>
    </w:p>
    <w:tbl>
      <w:tblPr>
        <w:tblStyle w:val="TableGrid"/>
        <w:tblW w:type="dxa" w:w="9468"/>
        <w:jc w:val="center"/>
        <w:tblLayout w:type="fixed"/>
        <w:tblLook w:firstColumn="1" w:firstRow="1" w:lastColumn="0" w:lastRow="0" w:noHBand="0" w:noVBand="1" w:val="04A0"/>
      </w:tblPr>
      <w:tblGrid>
        <w:gridCol w:w="1984"/>
        <w:gridCol w:w="7484"/>
      </w:tblGrid>
      <w:tr>
        <w:trPr>
          <w:tblHeader w:val="true"/>
          <w:cantSplit w:val="true"/>
        </w:trPr>
        <w:tc>
          <w:tcPr>
            <w:tcW w:type="dxa" w:w="19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测试类型</w:t>
            </w:r>
          </w:p>
        </w:tc>
        <w:tc>
          <w:tcPr>
            <w:tcW w:type="dxa" w:w="74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重点</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功能测试</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各模块、状态、操作、筛选、详情、批量、导出、多语言</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文件样本测试</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不同客户模板、工作表、表头位置、PDF、ZIP、损坏/重复/加密文件</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数据质量测试</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字段映射、门店/产品匹配、规则命中、修改前后值、入账结果</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流程与权限测试</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角色动作、组织范围、驳回/复核、并发与幂等、越权访问</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接口与任务测试</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鉴权、超时、失败重试、重复消息、任务状态和告警</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性能与稳定性测试</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批量上传、大文件、月度峰值、列表查询、导出和长任务</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安全与审计测试</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登录、会话、文件安全、敏感操作、日志完整性、凭据保护</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UAT</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真实业务场景、代表性区域、抽样对账、可操作性和培训效果</w:t>
            </w:r>
          </w:p>
        </w:tc>
      </w:tr>
    </w:tbl>
    <w:p>
      <w:pPr>
        <w:spacing w:after="20"/>
      </w:pPr>
    </w:p>
    <w:p>
      <w:pPr>
        <w:pStyle w:val="Heading2"/>
      </w:pPr>
      <w:r>
        <w:t>9.2 建议验收标准</w:t>
      </w:r>
    </w:p>
    <w:tbl>
      <w:tblPr>
        <w:tblStyle w:val="TableGrid"/>
        <w:tblW w:type="dxa" w:w="9468"/>
        <w:jc w:val="center"/>
        <w:tblLayout w:type="fixed"/>
        <w:tblLook w:firstColumn="1" w:firstRow="1" w:lastColumn="0" w:lastRow="0" w:noHBand="0" w:noVBand="1" w:val="04A0"/>
      </w:tblPr>
      <w:tblGrid>
        <w:gridCol w:w="1984"/>
        <w:gridCol w:w="7484"/>
      </w:tblGrid>
      <w:tr>
        <w:trPr>
          <w:tblHeader w:val="true"/>
          <w:cantSplit w:val="true"/>
        </w:trPr>
        <w:tc>
          <w:tcPr>
            <w:tcW w:type="dxa" w:w="19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验收域</w:t>
            </w:r>
          </w:p>
        </w:tc>
        <w:tc>
          <w:tcPr>
            <w:tcW w:type="dxa" w:w="748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8"/>
              </w:rPr>
              <w:t>建议通过条件</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范围</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本蓝图一阶段范围内的关键功能可用，阻断主流程的缺陷为0。</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主流程</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代表性文件可从接入、解析、匹配、质检、处置、复核到台账完整贯通。</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数据</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抽样记录与人工基准对账一致；差异均有解释、规则或已批准豁免。</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质量</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约定样本库的解析、匹配和规则结果达到双方确认的目标；具体百分比在蓝图冻结前补齐。</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权限</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角色和组织范围测试通过，无跨组织越权查看、编辑或导出。</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审计</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关键操作、数据修改、审批、配置和导出日志完整可检索。</w:t>
            </w:r>
          </w:p>
        </w:tc>
      </w:tr>
      <w:tr>
        <w:trPr>
          <w:cantSplit w:val="true"/>
        </w:trPr>
        <w:tc>
          <w:tcPr>
            <w:tcW w:type="dxa" w:w="19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性能</w:t>
            </w:r>
          </w:p>
        </w:tc>
        <w:tc>
          <w:tcPr>
            <w:tcW w:type="dxa" w:w="7484"/>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在确认容量和并发下达到响应及批处理窗口目标，无不可恢复失败。</w:t>
            </w:r>
          </w:p>
        </w:tc>
      </w:tr>
      <w:tr>
        <w:trPr>
          <w:cantSplit w:val="true"/>
        </w:trPr>
        <w:tc>
          <w:tcPr>
            <w:tcW w:type="dxa" w:w="19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上线准备</w:t>
            </w:r>
          </w:p>
        </w:tc>
        <w:tc>
          <w:tcPr>
            <w:tcW w:type="dxa" w:w="748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8"/>
              </w:rPr>
              <w:t>培训、用户/运维手册、部署与回退方案、备份恢复和支持机制齐备。</w:t>
            </w:r>
          </w:p>
        </w:tc>
      </w:tr>
    </w:tbl>
    <w:p>
      <w:pPr>
        <w:spacing w:after="20"/>
      </w:pPr>
    </w:p>
    <w:p>
      <w:pPr>
        <w:pStyle w:val="Heading2"/>
      </w:pPr>
      <w:r>
        <w:t>9.3 缺陷准出原则</w:t>
      </w:r>
    </w:p>
    <w:p>
      <w:pPr>
        <w:pStyle w:val="ListBullet"/>
        <w:spacing w:after="60"/>
        <w:ind w:left="425" w:hanging="198"/>
      </w:pPr>
      <w:r>
        <w:rPr>
          <w:rFonts w:ascii="Arial Unicode MS" w:hAnsi="Arial Unicode MS" w:eastAsia="Arial Unicode MS"/>
          <w:b w:val="0"/>
          <w:color w:val="1D2129"/>
          <w:sz w:val="21"/>
        </w:rPr>
        <w:t>P0/P1（系统不可用、数据丢失、严重越权、主流程阻断）必须清零。</w:t>
      </w:r>
    </w:p>
    <w:p>
      <w:pPr>
        <w:pStyle w:val="ListBullet"/>
        <w:spacing w:after="60"/>
        <w:ind w:left="425" w:hanging="198"/>
      </w:pPr>
      <w:r>
        <w:rPr>
          <w:rFonts w:ascii="Arial Unicode MS" w:hAnsi="Arial Unicode MS" w:eastAsia="Arial Unicode MS"/>
          <w:b w:val="0"/>
          <w:color w:val="1D2129"/>
          <w:sz w:val="21"/>
        </w:rPr>
        <w:t>P2缺陷需完成修复或由业务负责人书面接受并明确修复计划。</w:t>
      </w:r>
    </w:p>
    <w:p>
      <w:pPr>
        <w:pStyle w:val="ListBullet"/>
        <w:spacing w:after="60"/>
        <w:ind w:left="425" w:hanging="198"/>
      </w:pPr>
      <w:r>
        <w:rPr>
          <w:rFonts w:ascii="Arial Unicode MS" w:hAnsi="Arial Unicode MS" w:eastAsia="Arial Unicode MS"/>
          <w:b w:val="0"/>
          <w:color w:val="1D2129"/>
          <w:sz w:val="21"/>
        </w:rPr>
        <w:t>展示性轻微问题不得影响关键字段可读性、操作完成和验收场景。</w:t>
      </w:r>
    </w:p>
    <w:p>
      <w:pPr>
        <w:pStyle w:val="ListBullet"/>
        <w:spacing w:after="60"/>
        <w:ind w:left="425" w:hanging="198"/>
      </w:pPr>
      <w:r>
        <w:rPr>
          <w:rFonts w:ascii="Arial Unicode MS" w:hAnsi="Arial Unicode MS" w:eastAsia="Arial Unicode MS"/>
          <w:b w:val="0"/>
          <w:color w:val="1D2129"/>
          <w:sz w:val="21"/>
        </w:rPr>
        <w:t>所有遗留问题进入上线清单，明确责任人、影响、临时方案和完成日期。</w:t>
      </w:r>
    </w:p>
    <w:p>
      <w:r>
        <w:br w:type="page"/>
      </w:r>
    </w:p>
    <w:p>
      <w:pPr>
        <w:pStyle w:val="Heading1"/>
      </w:pPr>
      <w:r>
        <w:t>10. 风险、依赖与待确认事项</w:t>
      </w:r>
    </w:p>
    <w:p>
      <w:pPr>
        <w:pStyle w:val="Heading2"/>
      </w:pPr>
      <w:r>
        <w:t>10.1 主要风险及应对</w:t>
      </w:r>
    </w:p>
    <w:tbl>
      <w:tblPr>
        <w:tblStyle w:val="TableGrid"/>
        <w:tblW w:type="dxa" w:w="9468"/>
        <w:jc w:val="center"/>
        <w:tblLayout w:type="fixed"/>
        <w:tblLook w:firstColumn="1" w:firstRow="1" w:lastColumn="0" w:lastRow="0" w:noHBand="0" w:noVBand="1" w:val="04A0"/>
      </w:tblPr>
      <w:tblGrid>
        <w:gridCol w:w="2268"/>
        <w:gridCol w:w="2664"/>
        <w:gridCol w:w="4536"/>
      </w:tblGrid>
      <w:tr>
        <w:trPr>
          <w:tblHeader w:val="true"/>
          <w:cantSplit w:val="true"/>
        </w:trPr>
        <w:tc>
          <w:tcPr>
            <w:tcW w:type="dxa" w:w="226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风险</w:t>
            </w:r>
          </w:p>
        </w:tc>
        <w:tc>
          <w:tcPr>
            <w:tcW w:type="dxa" w:w="266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影响</w:t>
            </w:r>
          </w:p>
        </w:tc>
        <w:tc>
          <w:tcPr>
            <w:tcW w:type="dxa" w:w="4536"/>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应对措施</w:t>
            </w:r>
          </w:p>
        </w:tc>
      </w:tr>
      <w:tr>
        <w:trPr>
          <w:cantSplit w:val="true"/>
        </w:trPr>
        <w:tc>
          <w:tcPr>
            <w:tcW w:type="dxa" w:w="2268"/>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文件模板数量和变化频繁</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解析准确率下降、开发反复</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建立样本库和模板版本；字段别名与规则配置化；上线后监控新模板</w:t>
            </w:r>
          </w:p>
        </w:tc>
      </w:tr>
      <w:tr>
        <w:trPr>
          <w:cantSplit w:val="true"/>
        </w:trPr>
        <w:tc>
          <w:tcPr>
            <w:tcW w:type="dxa" w:w="2268"/>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主数据不完整或编码不一致</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门店/产品匹配失败</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提前清洗；明确主数据责任人；低置信度人工确认并沉淀映射</w:t>
            </w:r>
          </w:p>
        </w:tc>
      </w:tr>
      <w:tr>
        <w:trPr>
          <w:cantSplit w:val="true"/>
        </w:trPr>
        <w:tc>
          <w:tcPr>
            <w:tcW w:type="dxa" w:w="2268"/>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业务口径未冻结</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质量规则和汇总结果争议</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蓝图阶段形成字段字典、规则清单和签署机制</w:t>
            </w:r>
          </w:p>
        </w:tc>
      </w:tr>
      <w:tr>
        <w:trPr>
          <w:cantSplit w:val="true"/>
        </w:trPr>
        <w:tc>
          <w:tcPr>
            <w:tcW w:type="dxa" w:w="2268"/>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AI误识别或过度自动化</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错误数据进入台账</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置信度门槛、人机复核、抽样检查、禁止AI绕过审批</w:t>
            </w:r>
          </w:p>
        </w:tc>
      </w:tr>
      <w:tr>
        <w:trPr>
          <w:cantSplit w:val="true"/>
        </w:trPr>
        <w:tc>
          <w:tcPr>
            <w:tcW w:type="dxa" w:w="2268"/>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外部接口或邮箱接入延期</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自动收取无法按期上线</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保留人工上传兜底；接口独立联调和模拟器</w:t>
            </w:r>
          </w:p>
        </w:tc>
      </w:tr>
      <w:tr>
        <w:trPr>
          <w:cantSplit w:val="true"/>
        </w:trPr>
        <w:tc>
          <w:tcPr>
            <w:tcW w:type="dxa" w:w="2268"/>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峰值文件与明细量不明确</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性能不足或成本失控</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确认容量模型，批处理异步化，开展峰值压测</w:t>
            </w:r>
          </w:p>
        </w:tc>
      </w:tr>
      <w:tr>
        <w:trPr>
          <w:cantSplit w:val="true"/>
        </w:trPr>
        <w:tc>
          <w:tcPr>
            <w:tcW w:type="dxa" w:w="2268"/>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权限配置复杂</w:t>
            </w:r>
          </w:p>
        </w:tc>
        <w:tc>
          <w:tcPr>
            <w:tcW w:type="dxa" w:w="266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越权或业务无法操作</w:t>
            </w:r>
          </w:p>
        </w:tc>
        <w:tc>
          <w:tcPr>
            <w:tcW w:type="dxa" w:w="4536"/>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角色模板、权限预览、自动化权限回归和审计</w:t>
            </w:r>
          </w:p>
        </w:tc>
      </w:tr>
      <w:tr>
        <w:trPr>
          <w:cantSplit w:val="true"/>
        </w:trPr>
        <w:tc>
          <w:tcPr>
            <w:tcW w:type="dxa" w:w="2268"/>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用户习惯改变</w:t>
            </w:r>
          </w:p>
        </w:tc>
        <w:tc>
          <w:tcPr>
            <w:tcW w:type="dxa" w:w="266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上线后绕开系统</w:t>
            </w:r>
          </w:p>
        </w:tc>
        <w:tc>
          <w:tcPr>
            <w:tcW w:type="dxa" w:w="4536"/>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试点、并行期、培训、快速支持和指标跟踪</w:t>
            </w:r>
          </w:p>
        </w:tc>
      </w:tr>
    </w:tbl>
    <w:p>
      <w:pPr>
        <w:spacing w:after="20"/>
      </w:pPr>
    </w:p>
    <w:p>
      <w:pPr>
        <w:pStyle w:val="Heading2"/>
      </w:pPr>
      <w:r>
        <w:t>10.2 外部依赖</w:t>
      </w:r>
    </w:p>
    <w:p>
      <w:pPr>
        <w:pStyle w:val="ListBullet"/>
        <w:spacing w:after="60"/>
        <w:ind w:left="425" w:hanging="198"/>
      </w:pPr>
      <w:r>
        <w:rPr>
          <w:rFonts w:ascii="Arial Unicode MS" w:hAnsi="Arial Unicode MS" w:eastAsia="Arial Unicode MS"/>
          <w:b w:val="0"/>
          <w:color w:val="1D2129"/>
          <w:sz w:val="21"/>
        </w:rPr>
        <w:t>业务提供代表性文件样本、异常样本、历史数据量和处理规则。</w:t>
      </w:r>
    </w:p>
    <w:p>
      <w:pPr>
        <w:pStyle w:val="ListBullet"/>
        <w:spacing w:after="60"/>
        <w:ind w:left="425" w:hanging="198"/>
      </w:pPr>
      <w:r>
        <w:rPr>
          <w:rFonts w:ascii="Arial Unicode MS" w:hAnsi="Arial Unicode MS" w:eastAsia="Arial Unicode MS"/>
          <w:b w:val="0"/>
          <w:color w:val="1D2129"/>
          <w:sz w:val="21"/>
        </w:rPr>
        <w:t>主数据责任方提供门店、交易处、经销商、产品和组织数据及更新机制。</w:t>
      </w:r>
    </w:p>
    <w:p>
      <w:pPr>
        <w:pStyle w:val="ListBullet"/>
        <w:spacing w:after="60"/>
        <w:ind w:left="425" w:hanging="198"/>
      </w:pPr>
      <w:r>
        <w:rPr>
          <w:rFonts w:ascii="Arial Unicode MS" w:hAnsi="Arial Unicode MS" w:eastAsia="Arial Unicode MS"/>
          <w:b w:val="0"/>
          <w:color w:val="1D2129"/>
          <w:sz w:val="21"/>
        </w:rPr>
        <w:t>信息安全/运维确认部署环境、账号体系、邮件接入、文件扫描、备份和日志要求。</w:t>
      </w:r>
    </w:p>
    <w:p>
      <w:pPr>
        <w:pStyle w:val="ListBullet"/>
        <w:spacing w:after="60"/>
        <w:ind w:left="425" w:hanging="198"/>
      </w:pPr>
      <w:r>
        <w:rPr>
          <w:rFonts w:ascii="Arial Unicode MS" w:hAnsi="Arial Unicode MS" w:eastAsia="Arial Unicode MS"/>
          <w:b w:val="0"/>
          <w:color w:val="1D2129"/>
          <w:sz w:val="21"/>
        </w:rPr>
        <w:t>业务负责人确认角色、组织范围、驳回/通过权限和验收抽样方法。</w:t>
      </w:r>
    </w:p>
    <w:p>
      <w:pPr>
        <w:pStyle w:val="ListBullet"/>
        <w:spacing w:after="60"/>
        <w:ind w:left="425" w:hanging="198"/>
      </w:pPr>
      <w:r>
        <w:rPr>
          <w:rFonts w:ascii="Arial Unicode MS" w:hAnsi="Arial Unicode MS" w:eastAsia="Arial Unicode MS"/>
          <w:b w:val="0"/>
          <w:color w:val="1D2129"/>
          <w:sz w:val="21"/>
        </w:rPr>
        <w:t>若需要外部系统接口，系统所有方提供接口文档、测试环境和联调窗口。</w:t>
      </w:r>
    </w:p>
    <w:p>
      <w:pPr>
        <w:pStyle w:val="Heading2"/>
      </w:pPr>
      <w:r>
        <w:t>10.3 蓝图冻结前待确认事项</w:t>
      </w:r>
    </w:p>
    <w:tbl>
      <w:tblPr>
        <w:tblStyle w:val="TableGrid"/>
        <w:tblW w:type="dxa" w:w="9468"/>
        <w:jc w:val="center"/>
        <w:tblLayout w:type="fixed"/>
        <w:tblLook w:firstColumn="1" w:firstRow="1" w:lastColumn="0" w:lastRow="0" w:noHBand="0" w:noVBand="1" w:val="04A0"/>
      </w:tblPr>
      <w:tblGrid>
        <w:gridCol w:w="737"/>
        <w:gridCol w:w="2948"/>
        <w:gridCol w:w="4025"/>
        <w:gridCol w:w="1757"/>
      </w:tblGrid>
      <w:tr>
        <w:trPr>
          <w:tblHeader w:val="true"/>
          <w:cantSplit w:val="true"/>
        </w:trPr>
        <w:tc>
          <w:tcPr>
            <w:tcW w:type="dxa" w:w="73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6"/>
              </w:rPr>
              <w:t>编号</w:t>
            </w:r>
          </w:p>
        </w:tc>
        <w:tc>
          <w:tcPr>
            <w:tcW w:type="dxa" w:w="2948"/>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6"/>
              </w:rPr>
              <w:t>待确认事项</w:t>
            </w:r>
          </w:p>
        </w:tc>
        <w:tc>
          <w:tcPr>
            <w:tcW w:type="dxa" w:w="402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6"/>
              </w:rPr>
              <w:t>当前采用的工作假设</w:t>
            </w:r>
          </w:p>
        </w:tc>
        <w:tc>
          <w:tcPr>
            <w:tcW w:type="dxa" w:w="175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6"/>
              </w:rPr>
              <w:t>建议责任方</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Q1</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一阶段正式启动与目标上线日期</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先按W1–W12相对周次计划</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项目负责人</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Q2</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真实月度文件数、明细量、峰值并发、单文件大小、历史年限</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参考资料存在“月别文件4,000+”描述，需核实</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业务/运维</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Q3</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正式数据接入渠道</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人工上传为必备兜底，邮件/接口按确认实施</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业务/IT</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Q4</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一阶段必须支持的文件格式与样本覆盖</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XLSX/XLS/CSV/PDF/ZIP；OCR按样本评估</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POS担当</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Q5</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标准字段、必填性、单位、小数精度和唯一业务键</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以当前原型字段为起点，不作为最终口径</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业务/数据负责人</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Q6</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门店/产品/交易处主数据来源及责任人</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由好丽友标准主数据提供并定期更新</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主数据责任方</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Q7</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自动通过的置信度、关键异常和人工复核边界</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低置信度与主数据冲突必须人工复核</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业务负责人</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Q8</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汇总报表口径和目标输出模板</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一阶段先确保标准明细导出，汇总模板待确认</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POS担当</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Q9</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账号体系、SSO、密码和会话策略</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先支持平台账号，预留SSO</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信息安全</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Q10</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数据/文件/日志保留期限及合规要求</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不做物理删除，期限待制度确认</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合规/运维</w:t>
            </w:r>
          </w:p>
        </w:tc>
      </w:tr>
      <w:tr>
        <w:trPr>
          <w:cantSplit w:val="true"/>
        </w:trPr>
        <w:tc>
          <w:tcPr>
            <w:tcW w:type="dxa" w:w="737"/>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Q11</w:t>
            </w:r>
          </w:p>
        </w:tc>
        <w:tc>
          <w:tcPr>
            <w:tcW w:type="dxa" w:w="2948"/>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中文/韩文一阶段覆盖程度</w:t>
            </w:r>
          </w:p>
        </w:tc>
        <w:tc>
          <w:tcPr>
            <w:tcW w:type="dxa" w:w="4025"/>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界面基础双语，业务数据不自动翻译</w:t>
            </w:r>
          </w:p>
        </w:tc>
        <w:tc>
          <w:tcPr>
            <w:tcW w:type="dxa" w:w="1757"/>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业务负责人</w:t>
            </w:r>
          </w:p>
        </w:tc>
      </w:tr>
      <w:tr>
        <w:trPr>
          <w:cantSplit w:val="true"/>
        </w:trPr>
        <w:tc>
          <w:tcPr>
            <w:tcW w:type="dxa" w:w="73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6"/>
              </w:rPr>
              <w:t>Q12</w:t>
            </w:r>
          </w:p>
        </w:tc>
        <w:tc>
          <w:tcPr>
            <w:tcW w:type="dxa" w:w="2948"/>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试点区域、关键用户和UAT抽样比例</w:t>
            </w:r>
          </w:p>
        </w:tc>
        <w:tc>
          <w:tcPr>
            <w:tcW w:type="dxa" w:w="402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选择模板和异常类型具代表性的区域</w:t>
            </w:r>
          </w:p>
        </w:tc>
        <w:tc>
          <w:tcPr>
            <w:tcW w:type="dxa" w:w="1757"/>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6"/>
              </w:rPr>
              <w:t>项目负责人</w:t>
            </w:r>
          </w:p>
        </w:tc>
      </w:tr>
    </w:tbl>
    <w:p>
      <w:pPr>
        <w:spacing w:after="20"/>
      </w:pPr>
    </w:p>
    <w:tbl>
      <w:tblPr>
        <w:tblW w:type="dxa" w:w="9468"/>
        <w:tblLayout w:type="fixed"/>
        <w:tblLook w:firstColumn="1" w:firstRow="1" w:lastColumn="0" w:lastRow="0" w:noHBand="0" w:noVBand="1" w:val="04A0"/>
      </w:tblPr>
      <w:tblGrid>
        <w:gridCol w:w="9468"/>
      </w:tblGrid>
      <w:tr>
        <w:tc>
          <w:tcPr>
            <w:tcW w:type="dxa" w:w="9468"/>
            <w:shd w:fill="EAF3FF"/>
            <w:tcMar>
              <w:top w:w="140" w:type="dxa"/>
              <w:start w:w="180" w:type="dxa"/>
              <w:bottom w:w="140" w:type="dxa"/>
              <w:end w:w="180" w:type="dxa"/>
            </w:tcMar>
          </w:tcPr>
          <w:p>
            <w:r>
              <w:rPr>
                <w:rFonts w:ascii="Arial Unicode MS" w:hAnsi="Arial Unicode MS" w:eastAsia="Arial Unicode MS"/>
                <w:b/>
                <w:color w:val="155EEF"/>
                <w:sz w:val="21"/>
              </w:rPr>
              <w:t>评审建议：</w:t>
            </w:r>
            <w:r>
              <w:rPr>
                <w:rFonts w:ascii="Arial Unicode MS" w:hAnsi="Arial Unicode MS" w:eastAsia="Arial Unicode MS"/>
                <w:b w:val="0"/>
                <w:color w:val="1D2129"/>
                <w:sz w:val="21"/>
              </w:rPr>
              <w:t>Q1–Q12应在蓝图冻结前逐项关闭；无法立即关闭的事项需明确工作假设、影响、责任人和最晚确认日期，并纳入项目风险台账。</w:t>
            </w:r>
          </w:p>
        </w:tc>
      </w:tr>
    </w:tbl>
    <w:p>
      <w:pPr>
        <w:spacing w:after="20"/>
      </w:pPr>
    </w:p>
    <w:p>
      <w:pPr>
        <w:pStyle w:val="Heading1"/>
      </w:pPr>
      <w:r>
        <w:t>11. 附件</w:t>
      </w:r>
    </w:p>
    <w:p>
      <w:pPr>
        <w:pStyle w:val="Heading2"/>
      </w:pPr>
      <w:r>
        <w:t>11.1 一阶段功能范围矩阵</w:t>
      </w:r>
    </w:p>
    <w:tbl>
      <w:tblPr>
        <w:tblStyle w:val="TableGrid"/>
        <w:tblW w:type="dxa" w:w="9468"/>
        <w:jc w:val="center"/>
        <w:tblLayout w:type="fixed"/>
        <w:tblLook w:firstColumn="1" w:firstRow="1" w:lastColumn="0" w:lastRow="0" w:noHBand="0" w:noVBand="1" w:val="04A0"/>
      </w:tblPr>
      <w:tblGrid>
        <w:gridCol w:w="1701"/>
        <w:gridCol w:w="4082"/>
        <w:gridCol w:w="1530"/>
        <w:gridCol w:w="2154"/>
      </w:tblGrid>
      <w:tr>
        <w:trPr>
          <w:tblHeader w:val="true"/>
          <w:cantSplit w:val="true"/>
        </w:trPr>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模块</w:t>
            </w:r>
          </w:p>
        </w:tc>
        <w:tc>
          <w:tcPr>
            <w:tcW w:type="dxa" w:w="4082"/>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子功能</w:t>
            </w:r>
          </w:p>
        </w:tc>
        <w:tc>
          <w:tcPr>
            <w:tcW w:type="dxa" w:w="1530"/>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一阶段优先级</w:t>
            </w:r>
          </w:p>
        </w:tc>
        <w:tc>
          <w:tcPr>
            <w:tcW w:type="dxa" w:w="215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备注</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首页概览</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平台/文件收取/质量检查指标与区域明细</w:t>
            </w:r>
          </w:p>
        </w:tc>
        <w:tc>
          <w:tcPr>
            <w:tcW w:type="dxa" w:w="1530"/>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按年月和权限联动</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文件收取</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文件箱、上传、预览下载、重复处理、详情、删除</w:t>
            </w:r>
          </w:p>
        </w:tc>
        <w:tc>
          <w:tcPr>
            <w:tcW w:type="dxa" w:w="153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原文件留存与状态跟踪</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文件收取</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已匹配/未匹配门店处理、校验、驳回、复核</w:t>
            </w:r>
          </w:p>
        </w:tc>
        <w:tc>
          <w:tcPr>
            <w:tcW w:type="dxa" w:w="1530"/>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端到端主流程</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质量检查</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标准POS表、异常数据、编辑、通过/驳回、详情</w:t>
            </w:r>
          </w:p>
        </w:tc>
        <w:tc>
          <w:tcPr>
            <w:tcW w:type="dxa" w:w="153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修改留痕</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台账与汇总</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标准POS明细查询、详情、编辑、导出</w:t>
            </w:r>
          </w:p>
        </w:tc>
        <w:tc>
          <w:tcPr>
            <w:tcW w:type="dxa" w:w="1530"/>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导出受权限控制</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数据分析</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门店对照表、月度门店、字段列表、提交监控</w:t>
            </w:r>
          </w:p>
        </w:tc>
        <w:tc>
          <w:tcPr>
            <w:tcW w:type="dxa" w:w="153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Should</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一阶段纳入当前原型能力</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系统设置</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用户、角色权限、字段配置、系统日志</w:t>
            </w:r>
          </w:p>
        </w:tc>
        <w:tc>
          <w:tcPr>
            <w:tcW w:type="dxa" w:w="1530"/>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Must</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字段配置入口按权限开放</w:t>
            </w:r>
          </w:p>
        </w:tc>
      </w:tr>
      <w:tr>
        <w:trPr>
          <w:cantSplit w:val="true"/>
        </w:trPr>
        <w:tc>
          <w:tcPr>
            <w:tcW w:type="dxa" w:w="1701"/>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平台能力</w:t>
            </w:r>
          </w:p>
        </w:tc>
        <w:tc>
          <w:tcPr>
            <w:tcW w:type="dxa" w:w="4082"/>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全局年月、中韩文、AI辅助、统一筛选/表格</w:t>
            </w:r>
          </w:p>
        </w:tc>
        <w:tc>
          <w:tcPr>
            <w:tcW w:type="dxa" w:w="1530"/>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Should</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AI仅作辅助</w:t>
            </w:r>
          </w:p>
        </w:tc>
      </w:tr>
      <w:tr>
        <w:trPr>
          <w:cantSplit w:val="true"/>
        </w:trPr>
        <w:tc>
          <w:tcPr>
            <w:tcW w:type="dxa" w:w="1701"/>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外部集成</w:t>
            </w:r>
          </w:p>
        </w:tc>
        <w:tc>
          <w:tcPr>
            <w:tcW w:type="dxa" w:w="4082"/>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邮件/主数据/导出接口</w:t>
            </w:r>
          </w:p>
        </w:tc>
        <w:tc>
          <w:tcPr>
            <w:tcW w:type="dxa" w:w="1530"/>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Conditional</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以Q3、Q6确认结果为准</w:t>
            </w:r>
          </w:p>
        </w:tc>
      </w:tr>
    </w:tbl>
    <w:p>
      <w:pPr>
        <w:spacing w:after="20"/>
      </w:pPr>
    </w:p>
    <w:p>
      <w:pPr>
        <w:pStyle w:val="Heading2"/>
      </w:pPr>
      <w:r>
        <w:t>11.2 状态与责任方对照</w:t>
      </w:r>
    </w:p>
    <w:tbl>
      <w:tblPr>
        <w:tblStyle w:val="TableGrid"/>
        <w:tblW w:type="dxa" w:w="9468"/>
        <w:jc w:val="center"/>
        <w:tblLayout w:type="fixed"/>
        <w:tblLook w:firstColumn="1" w:firstRow="1" w:lastColumn="0" w:lastRow="0" w:noHBand="0" w:noVBand="1" w:val="04A0"/>
      </w:tblPr>
      <w:tblGrid>
        <w:gridCol w:w="1757"/>
        <w:gridCol w:w="3855"/>
        <w:gridCol w:w="1701"/>
        <w:gridCol w:w="2154"/>
      </w:tblGrid>
      <w:tr>
        <w:trPr>
          <w:tblHeader w:val="true"/>
          <w:cantSplit w:val="true"/>
        </w:trPr>
        <w:tc>
          <w:tcPr>
            <w:tcW w:type="dxa" w:w="1757"/>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状态</w:t>
            </w:r>
          </w:p>
        </w:tc>
        <w:tc>
          <w:tcPr>
            <w:tcW w:type="dxa" w:w="3855"/>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含义</w:t>
            </w:r>
          </w:p>
        </w:tc>
        <w:tc>
          <w:tcPr>
            <w:tcW w:type="dxa" w:w="1701"/>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主要责任方</w:t>
            </w:r>
          </w:p>
        </w:tc>
        <w:tc>
          <w:tcPr>
            <w:tcW w:type="dxa" w:w="2154"/>
            <w:shd w:fill="EAF3FF"/>
            <w:tcMar>
              <w:top w:w="100" w:type="dxa"/>
              <w:start w:w="120" w:type="dxa"/>
              <w:bottom w:w="100" w:type="dxa"/>
              <w:end w:w="120" w:type="dxa"/>
            </w:tcMar>
            <w:vAlign w:val="center"/>
          </w:tcPr>
          <w:p>
            <w:pPr>
              <w:jc w:val="center"/>
            </w:pPr>
            <w:r>
              <w:rPr>
                <w:rFonts w:ascii="Arial Unicode MS" w:hAnsi="Arial Unicode MS" w:eastAsia="Arial Unicode MS"/>
                <w:b/>
                <w:color w:val="155EEF"/>
                <w:sz w:val="17"/>
              </w:rPr>
              <w:t>允许的后续动作</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待处理</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文件已接入，尚未完成预检/解析或需人工决定</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系统/POS担当</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开始校验、忽略重复、驳回</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校验中</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系统正在解析、匹配和执行规则</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系统</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查看进度；禁止重复提交</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待通过</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自动处理完成，等待授权人员确认</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POS担当</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质检、修改、通过、驳回</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营业担当处理中</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问题已分派给所属营业团队</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营业担当</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补充/修改、提交复核</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质检中/待复核</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处理结果等待复核</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POS担当/复核人</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通过、驳回</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已同步</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已通过并写入标准台账</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系统</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查看、导出；更正需新流程</w:t>
            </w:r>
          </w:p>
        </w:tc>
      </w:tr>
      <w:tr>
        <w:trPr>
          <w:cantSplit w:val="true"/>
        </w:trPr>
        <w:tc>
          <w:tcPr>
            <w:tcW w:type="dxa" w:w="1757"/>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校验失败/驳回</w:t>
            </w:r>
          </w:p>
        </w:tc>
        <w:tc>
          <w:tcPr>
            <w:tcW w:type="dxa" w:w="3855"/>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文件或数据不符合要求</w:t>
            </w:r>
          </w:p>
        </w:tc>
        <w:tc>
          <w:tcPr>
            <w:tcW w:type="dxa" w:w="1701"/>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POS担当/营业担当</w:t>
            </w:r>
          </w:p>
        </w:tc>
        <w:tc>
          <w:tcPr>
            <w:tcW w:type="dxa" w:w="2154"/>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查看原因、修复或重新提交</w:t>
            </w:r>
          </w:p>
        </w:tc>
      </w:tr>
      <w:tr>
        <w:trPr>
          <w:cantSplit w:val="true"/>
        </w:trPr>
        <w:tc>
          <w:tcPr>
            <w:tcW w:type="dxa" w:w="1757"/>
            <w:shd w:fill="F5F8FC"/>
            <w:tcMar>
              <w:top w:w="100" w:type="dxa"/>
              <w:start w:w="120" w:type="dxa"/>
              <w:bottom w:w="100" w:type="dxa"/>
              <w:end w:w="120" w:type="dxa"/>
            </w:tcMar>
            <w:vAlign w:val="center"/>
          </w:tcPr>
          <w:p>
            <w:pPr>
              <w:jc w:val="center"/>
            </w:pPr>
            <w:r>
              <w:rPr>
                <w:rFonts w:ascii="Arial Unicode MS" w:hAnsi="Arial Unicode MS" w:eastAsia="Arial Unicode MS"/>
                <w:b w:val="0"/>
                <w:color w:val="1D2129"/>
                <w:sz w:val="17"/>
              </w:rPr>
              <w:t>作废</w:t>
            </w:r>
          </w:p>
        </w:tc>
        <w:tc>
          <w:tcPr>
            <w:tcW w:type="dxa" w:w="3855"/>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文件或记录不再参与当前业务处理</w:t>
            </w:r>
          </w:p>
        </w:tc>
        <w:tc>
          <w:tcPr>
            <w:tcW w:type="dxa" w:w="1701"/>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授权人员</w:t>
            </w:r>
          </w:p>
        </w:tc>
        <w:tc>
          <w:tcPr>
            <w:tcW w:type="dxa" w:w="2154"/>
            <w:shd w:fill="F5F8FC"/>
            <w:tcMar>
              <w:top w:w="100" w:type="dxa"/>
              <w:start w:w="120" w:type="dxa"/>
              <w:bottom w:w="100" w:type="dxa"/>
              <w:end w:w="120" w:type="dxa"/>
            </w:tcMar>
            <w:vAlign w:val="center"/>
          </w:tcPr>
          <w:p>
            <w:pPr>
              <w:jc w:val="left"/>
            </w:pPr>
            <w:r>
              <w:rPr>
                <w:rFonts w:ascii="Arial Unicode MS" w:hAnsi="Arial Unicode MS" w:eastAsia="Arial Unicode MS"/>
                <w:b w:val="0"/>
                <w:color w:val="1D2129"/>
                <w:sz w:val="17"/>
              </w:rPr>
              <w:t>按权限查看/恢复；保留日志</w:t>
            </w:r>
          </w:p>
        </w:tc>
      </w:tr>
    </w:tbl>
    <w:p>
      <w:pPr>
        <w:spacing w:after="20"/>
      </w:pPr>
    </w:p>
    <w:p>
      <w:pPr>
        <w:pStyle w:val="Heading2"/>
      </w:pPr>
      <w:r>
        <w:t>11.3 蓝图结论</w:t>
      </w:r>
    </w:p>
    <w:p>
      <w:pPr>
        <w:spacing w:line="360" w:lineRule="auto"/>
        <w:ind w:firstLine="420"/>
      </w:pPr>
      <w:r>
        <w:rPr>
          <w:rFonts w:ascii="Arial Unicode MS" w:hAnsi="Arial Unicode MS" w:eastAsia="Arial Unicode MS"/>
          <w:b w:val="0"/>
          <w:color w:val="1D2129"/>
          <w:sz w:val="21"/>
        </w:rPr>
        <w:t>本蓝图将当前项目第一阶段定义为POS数据处理主流程和基础治理能力的建设阶段。阶段成果不是单一页面集合，而是从文件接入、自动解析、主数据匹配、质量控制、跨角色协同到标准台账与分析监控的完整闭环。项目进入详细设计和开发前，应以本文件的范围、数据口径、状态、权限、待确认事项和验收原则为评审基线。</w:t>
      </w:r>
    </w:p>
    <w:sectPr w:rsidR="00FC693F" w:rsidRPr="0006063C" w:rsidSect="00034616">
      <w:headerReference w:type="default" r:id="rId14"/>
      <w:footerReference w:type="default" r:id="rId15"/>
      <w:pgSz w:w="11906" w:h="16838"/>
      <w:pgMar w:top="1276" w:right="1134" w:bottom="1247"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4E5969"/>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4E5969"/>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4E5969"/>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1D2129"/>
      </w:pBdr>
    </w:pPr>
    <w:r>
      <w:rPr>
        <w:rFonts w:ascii="Arial Unicode MS" w:hAnsi="Arial Unicode MS" w:eastAsia="Arial Unicode MS"/>
        <w:b w:val="0"/>
        <w:color w:val="4E5969"/>
        <w:sz w:val="17"/>
      </w:rPr>
      <w:t>好丽友POS数据管理平台项目｜一阶段蓝图计划书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1D2129"/>
      </w:pBdr>
    </w:pPr>
    <w:r>
      <w:rPr>
        <w:rFonts w:ascii="Arial Unicode MS" w:hAnsi="Arial Unicode MS" w:eastAsia="Arial Unicode MS"/>
        <w:b w:val="0"/>
        <w:color w:val="4E5969"/>
        <w:sz w:val="17"/>
      </w:rPr>
      <w:t>好丽友POS数据管理平台项目｜一阶段蓝图计划书</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1D2129"/>
      </w:pBdr>
    </w:pPr>
    <w:r>
      <w:rPr>
        <w:rFonts w:ascii="Arial Unicode MS" w:hAnsi="Arial Unicode MS" w:eastAsia="Arial Unicode MS"/>
        <w:b w:val="0"/>
        <w:color w:val="4E5969"/>
        <w:sz w:val="17"/>
      </w:rPr>
      <w:t>好丽友POS数据管理平台项目｜一阶段蓝图计划书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Arial Unicode MS" w:hAnsi="Arial Unicode MS" w:eastAsia="Arial Unicode MS"/>
      <w:color w:val="1D21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Unicode MS" w:hAnsi="Arial Unicode MS" w:eastAsia="Arial Unicode MS"/>
      <w:b/>
      <w:bCs/>
      <w:color w:val="1D212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155EE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Unicode MS" w:hAnsi="Arial Unicode MS" w:eastAsia="Arial Unicode MS"/>
      <w:b/>
      <w:bCs/>
      <w:color w:val="1D21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