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可以将几个单（复）选框合为一组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提交信息到服务器上时，文本框，文本域，手写域内容会传递过去，但是单选框和复选框必须通过v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r>
        <w:t>R</w:t>
      </w:r>
      <w:r>
        <w:rPr>
          <w:rFonts w:hint="eastAsia"/>
        </w:rPr>
        <w:t>eadonly：只读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&amp;gt;   //great than</w:t>
      </w:r>
    </w:p>
    <w:p w14:paraId="5F87388C" w14:textId="1F3BF951" w:rsidR="008F2BF7" w:rsidRDefault="008F2BF7" w:rsidP="008F2BF7">
      <w:r>
        <w:tab/>
        <w:t>&lt;</w:t>
      </w:r>
      <w:r>
        <w:tab/>
        <w:t>&amp;lt;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30822DEA" w:rsidR="008F2BF7" w:rsidRDefault="008F2BF7" w:rsidP="008F2BF7">
      <w:pPr>
        <w:rPr>
          <w:rFonts w:hint="eastAsia"/>
        </w:rPr>
      </w:pPr>
      <w:r>
        <w:tab/>
      </w:r>
      <w:r>
        <w:rPr>
          <w:rFonts w:hint="eastAsia"/>
        </w:rPr>
        <w:t>空格</w:t>
      </w:r>
      <w:r>
        <w:tab/>
        <w:t>&amp;nbsp;</w:t>
      </w:r>
    </w:p>
    <w:sectPr w:rsidR="008F2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353233"/>
    <w:rsid w:val="00590FDF"/>
    <w:rsid w:val="005A5455"/>
    <w:rsid w:val="006604DC"/>
    <w:rsid w:val="006B7A92"/>
    <w:rsid w:val="008F2BF7"/>
    <w:rsid w:val="00A403A3"/>
    <w:rsid w:val="00AA0E43"/>
    <w:rsid w:val="00C928EC"/>
    <w:rsid w:val="00CA5E4B"/>
    <w:rsid w:val="00CB4D10"/>
    <w:rsid w:val="00F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7</cp:revision>
  <dcterms:created xsi:type="dcterms:W3CDTF">2020-04-14T01:26:00Z</dcterms:created>
  <dcterms:modified xsi:type="dcterms:W3CDTF">2020-04-15T14:26:00Z</dcterms:modified>
</cp:coreProperties>
</file>