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6788C"/>
          <w:sz w:val="18"/>
        </w:rPr>
        <w:t>BESS-PSA · TD-001 · Rev C · 2026-07-14 · 内部技术文档 · 中文</w:t>
      </w:r>
    </w:p>
    <w:p>
      <w:pPr>
        <w:pStyle w:val="Title"/>
      </w:pPr>
      <w:r>
        <w:t>储能电站锂电池热失控概率安全评估工具技术文档与算法手册</w:t>
      </w:r>
    </w:p>
    <w:p>
      <w:r>
        <w:rPr>
          <w:color w:val="3D4B5C"/>
          <w:sz w:val="22"/>
        </w:rPr>
        <w:t>精确 BDD 定量内核 · 事件树/故障树一体化 · 证据链版本库 · 评审签发与多项目组合总览 · AI 辅助建模 —— 面向监管评审的 BESS QRA 全栈参考</w:t>
      </w:r>
    </w:p>
    <w:p>
      <w:r>
        <w:rPr>
          <w:color w:val="66788C"/>
          <w:sz w:val="18"/>
        </w:rPr>
        <w:t>后端+引擎 pytest 366 收集 · SCRAM/OpenFTA 基准 24/24 逐位 · 前端测试 281 通过 · 参考库 100 条(C:22 / D:73 / IE:5) · 离线单文件 2.78 MB · 数据成熟度 筛查级(C/D)</w:t>
      </w:r>
    </w:p>
    <w:p>
      <w:pPr>
        <w:pStyle w:val="Heading1"/>
      </w:pPr>
      <w:r>
        <w:t>目录</w:t>
      </w:r>
    </w:p>
    <w:p>
      <w:fldSimple w:instr="TOC \o &quot;1-2&quot; \h \z \u">
        <w:r>
          <w:t>(在 Word 中右键此处 → 更新域,生成目录)</w:t>
        </w:r>
      </w:fldSimple>
    </w:p>
    <w:p>
      <w:r>
        <w:br w:type="page"/>
      </w:r>
    </w:p>
    <w:p>
      <w:pPr>
        <w:pStyle w:val="Heading1"/>
      </w:pPr>
      <w:r>
        <w:t>1 摘要与定位</w:t>
      </w:r>
    </w:p>
    <w:p>
      <w:r>
        <w:t>本工具是面向</w:t>
      </w:r>
      <w:r>
        <w:rPr>
          <w:b/>
        </w:rPr>
        <w:t>储能电站(BESS)锂离子电池热失控</w:t>
      </w:r>
      <w:r>
        <w:rPr/>
        <w:t>的概率安全评估 / 定量风险评估</w:t>
        <w:br/>
        <w:t xml:space="preserve">  (PSA/QRA)全栈应用:后端以精确 ROBDD 为定量内核对标核工业商用软件 RiskSpectrum,前端提供画布优先的</w:t>
        <w:br/>
        <w:t xml:space="preserve">  下一代分析工作台,并以 </w:t>
      </w:r>
      <w:r>
        <w:rPr>
          <w:b/>
        </w:rPr>
        <w:t>AI 辅助 ETA/FTA 自动生成</w:t>
      </w:r>
      <w:r>
        <w:rPr/>
        <w:t>为旗舰能力。评审可追溯性是产品特性而非</w:t>
        <w:br/>
        <w:t xml:space="preserve">  文书负担——每一份报告中的每一个数字都能回溯到确切的模型版本、引擎版本、分析设置与数据条目出处。</w:t>
      </w:r>
    </w:p>
    <w:p>
      <w:r>
        <w:t>产品由三根支柱构成:</w:t>
      </w:r>
    </w:p>
    <w:p>
      <w:pPr>
        <w:pStyle w:val="ListBullet"/>
      </w:pPr>
      <w:r>
        <w:rPr>
          <w:b/>
        </w:rPr>
        <w:t>RiskSpectrum 对标后端</w:t>
      </w:r>
      <w:r>
        <w:rPr/>
        <w:t xml:space="preserve"> —— 精确 BDD 顶事件概率、ZBDD/MOCUS 最小割集、</w:t>
        <w:br/>
        <w:t xml:space="preserve">      NUREG/CR-5485 全套 CCF 模型(β/MGL/α/φ,含错峰检验)、边界条件集、割集后处理规则、</w:t>
        <w:br/>
        <w:t xml:space="preserve">      重要度(B/FV/RAW/RRW/DIM)、蒙特卡洛不确定性、Open-PSA MEF XML 互换。其中</w:t>
        <w:br/>
        <w:t xml:space="preserve">      </w:t>
      </w:r>
      <w:r>
        <w:rPr>
          <w:b/>
        </w:rPr>
        <w:t>事件树成功分支的精确否定</w:t>
      </w:r>
      <w:r>
        <w:rPr/>
        <w:t>超越 RiskSpectrum 的 delete-term 近似(§4.3)。</w:t>
      </w:r>
    </w:p>
    <w:p>
      <w:pPr>
        <w:pStyle w:val="ListBullet"/>
      </w:pPr>
      <w:r>
        <w:rPr>
          <w:b/>
        </w:rPr>
        <w:t>证据链版本库与评审签发</w:t>
      </w:r>
      <w:r>
        <w:rPr/>
        <w:t xml:space="preserve"> —— 保存即内容寻址版本(SHA-256 幂等),分析即自动钉扎</w:t>
        <w:br/>
        <w:t xml:space="preserve">      「分析案例」,报告页脚携带 </w:t>
      </w:r>
      <w:r>
        <w:rPr>
          <w:rFonts w:ascii="Consolas" w:hAnsi="Consolas"/>
          <w:sz w:val="19"/>
        </w:rPr>
        <w:t>分析案例 # · 版本哈希 · 引擎版本</w:t>
      </w:r>
      <w:r>
        <w:rPr/>
        <w:t>,审计日志只增不改</w:t>
        <w:br/>
        <w:t xml:space="preserve">      (SQLite 触发器强制,§4.11);评审/签发状态机 + 三角色本地认证把"谁在何时批准了哪个版本"</w:t>
        <w:br/>
        <w:t xml:space="preserve">      变成数据库物理事实(§4.14),多项目组合总览只呈现已钉扎的数字(§5.4)。</w:t>
      </w:r>
    </w:p>
    <w:p>
      <w:pPr>
        <w:pStyle w:val="ListBullet"/>
      </w:pPr>
      <w:r>
        <w:rPr>
          <w:b/>
        </w:rPr>
        <w:t>AI 辅助建模</w:t>
      </w:r>
      <w:r>
        <w:rPr/>
        <w:t xml:space="preserve"> —— 基于参考库检索接地的草案生成、确定性校验-修复环</w:t>
        <w:br/>
        <w:t xml:space="preserve">      (schema → 域 lint → 引擎试运行)、逐元素幽灵差异接受(ghost-diff)、金例评测门。</w:t>
        <w:br/>
        <w:t xml:space="preserve">      所有 AI 产物强制携带「AI 草案,待人工审核」溯源并默认 D 级置信(§4.12)。</w:t>
      </w:r>
    </w:p>
    <w:p>
      <w:pPr>
        <w:pStyle w:val="ListBullet"/>
      </w:pPr>
      <w:r>
        <w:t>后端+引擎 pytest:366收集(含基准)</w:t>
      </w:r>
    </w:p>
    <w:p>
      <w:pPr>
        <w:pStyle w:val="ListBullet"/>
      </w:pPr>
      <w:r>
        <w:t>SCRAM/OpenFTA 对标基准:24/24逐位一致</w:t>
      </w:r>
    </w:p>
    <w:p>
      <w:pPr>
        <w:pStyle w:val="ListBullet"/>
      </w:pPr>
      <w:r>
        <w:t>前端 vitest:281通过</w:t>
      </w:r>
    </w:p>
    <w:p>
      <w:pPr>
        <w:pStyle w:val="ListBullet"/>
      </w:pPr>
      <w:r>
        <w:t>预置 ETA 模板:7个(逐条溯源)</w:t>
      </w:r>
    </w:p>
    <w:p>
      <w:pPr>
        <w:pStyle w:val="ListBullet"/>
      </w:pPr>
      <w:r>
        <w:t>参考库条目:100全带 citation</w:t>
      </w:r>
    </w:p>
    <w:p>
      <w:pPr>
        <w:pStyle w:val="ListBullet"/>
      </w:pPr>
      <w:r>
        <w:t>BDD 后端:3python/autoref/CUDD</w:t>
      </w:r>
    </w:p>
    <w:tbl>
      <w:tblPr>
        <w:tblStyle w:val="TableGrid"/>
        <w:tblW w:type="auto" w:w="0"/>
        <w:tblLook w:firstColumn="1" w:firstRow="1" w:lastColumn="0" w:lastRow="0" w:noHBand="0" w:noVBand="1" w:val="04A0"/>
      </w:tblPr>
      <w:tblGrid>
        <w:gridCol w:w="9972"/>
      </w:tblGrid>
      <w:tr>
        <w:tc>
          <w:tcPr>
            <w:tcW w:type="dxa" w:w="9972"/>
            <w:shd w:val="clear" w:fill="EAF0FD"/>
          </w:tcPr>
          <w:p>
            <w:r>
              <w:rPr>
                <w:b/>
                <w:sz w:val="19"/>
              </w:rPr>
              <w:t>声明口径。</w:t>
            </w:r>
            <w:r>
              <w:rPr>
                <w:sz w:val="19"/>
              </w:rPr>
              <w:t>本文档中所有数值锚点、对标声明与「超越」表述均由仓库内测试锁定:</w:t>
              <w:br/>
              <w:t xml:space="preserve">  基准语料 24 例与 SCRAM/OpenFTA 参考值逐位一致;每个「exceeds」声明配有演示差异的守护测试</w:t>
              <w:br/>
              <w:t xml:space="preserve">  (如共享事件序列 0.109 ≠ 独立乘积 0.0361)。数据成熟度诚实标注:内置参考库仅含 C/D 级</w:t>
              <w:br/>
              <w:t xml:space="preserve">  (行业统计/文献推断),A/B 级须由项目实测或现场贝叶斯更新产生——工具在界面与报告中不掩饰这一点。</w:t>
            </w:r>
          </w:p>
        </w:tc>
      </w:tr>
    </w:tbl>
    <w:p>
      <w:pPr>
        <w:spacing w:after="0"/>
      </w:pPr>
    </w:p>
    <w:p>
      <w:pPr>
        <w:pStyle w:val="Heading1"/>
      </w:pPr>
      <w:r>
        <w:t>2 系统架构</w:t>
      </w:r>
    </w:p>
    <w:p>
      <w:r>
        <w:t>系统分四层,每层单向依赖其下层。引擎层是纯 Python 的通用 FTA/ETA 定量库(零 Web 依赖,可独立</w:t>
        <w:br/>
        <w:t xml:space="preserve">  pip 安装与 CLI 调用);领域层将 BESS 热失控知识(事件序列、屏障、后果分级、参考数据)编码为引擎模型;</w:t>
        <w:br/>
        <w:t xml:space="preserve">  后端以 FastAPI 暴露分析与持久化服务;前端是 React 18 工作台。</w:t>
      </w:r>
    </w:p>
    <w:p>
      <w:pPr>
        <w:jc w:val="center"/>
      </w:pPr>
      <w:r>
        <w:drawing>
          <wp:inline xmlns:a="http://schemas.openxmlformats.org/drawingml/2006/main" xmlns:pic="http://schemas.openxmlformats.org/drawingml/2006/picture">
            <wp:extent cx="5976000" cy="2526218"/>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976000" cy="2526218"/>
                    </a:xfrm>
                    <a:prstGeom prst="rect"/>
                  </pic:spPr>
                </pic:pic>
              </a:graphicData>
            </a:graphic>
          </wp:inline>
        </w:drawing>
      </w:r>
    </w:p>
    <w:p>
      <w:pPr>
        <w:jc w:val="left"/>
      </w:pPr>
      <w:r>
        <w:rPr>
          <w:b/>
          <w:color w:val="66788C"/>
          <w:sz w:val="18"/>
        </w:rPr>
        <w:t>图 1</w:t>
      </w:r>
      <w:r>
        <w:rPr>
          <w:color w:val="66788C"/>
          <w:sz w:val="18"/>
        </w:rPr>
        <w:t xml:space="preserve"> · 四层架构。依赖方向自上而下;引擎层不知道 Web 的存在,可单独作为 Python 库/CLI 复用。</w:t>
      </w:r>
    </w:p>
    <w:p>
      <w:pPr>
        <w:pStyle w:val="Heading2"/>
      </w:pPr>
      <w:r>
        <w:t>2.1 统一模型表示与规范层</w:t>
      </w:r>
    </w:p>
    <w:p>
      <w:r>
        <w:t xml:space="preserve">历史上模型有四种平行表示(前端 </w:t>
      </w:r>
      <w:r>
        <w:rPr>
          <w:rFonts w:ascii="Consolas" w:hAnsi="Consolas"/>
          <w:sz w:val="19"/>
        </w:rPr>
        <w:t>model.ts/eventtree.ts</w:t>
      </w:r>
      <w:r>
        <w:rPr/>
        <w:t>、引擎 JSON、MEF XML、AI 草案目标),</w:t>
        <w:br/>
        <w:t xml:space="preserve">  ADR-1 以一个</w:t>
      </w:r>
      <w:r>
        <w:rPr>
          <w:b/>
        </w:rPr>
        <w:t>规范 ProjectDocument</w:t>
      </w:r>
      <w:r>
        <w:rPr/>
        <w:t>(MEF 对齐、UUID 身份、逐实体溯源块)统一:严格 Pydantic</w:t>
        <w:br/>
        <w:t xml:space="preserve">  模式(</w:t>
      </w:r>
      <w:r>
        <w:rPr>
          <w:rFonts w:ascii="Consolas" w:hAnsi="Consolas"/>
          <w:sz w:val="19"/>
        </w:rPr>
        <w:t>additionalProperties:false</w:t>
      </w:r>
      <w:r>
        <w:rPr/>
        <w:t xml:space="preserve"> 全树)、确定性 </w:t>
      </w:r>
      <w:r>
        <w:rPr>
          <w:rFonts w:ascii="Consolas" w:hAnsi="Consolas"/>
          <w:sz w:val="19"/>
        </w:rPr>
        <w:t>uuid5</w:t>
      </w:r>
      <w:r>
        <w:rPr/>
        <w:t xml:space="preserve"> 身份(同内容必同 ID)、</w:t>
        <w:br/>
        <w:t xml:space="preserve">  与既有 v2 载荷</w:t>
      </w:r>
      <w:r>
        <w:rPr>
          <w:b/>
        </w:rPr>
        <w:t>逐字段无损互转</w:t>
      </w:r>
      <w:r>
        <w:rPr/>
        <w:t>(绞杀者 sidecar 记录在位字段)。这一层同时服务:引擎请求</w:t>
        <w:br/>
        <w:t xml:space="preserve">  生成、存储哈希、模型 diff、多用户演进与 AI 结构化输出。</w:t>
      </w:r>
    </w:p>
    <w:p>
      <w:pPr>
        <w:pStyle w:val="Heading2"/>
      </w:pPr>
      <w:r>
        <w:t>2.2 证据链(报告数字 → 数据条目)</w:t>
      </w:r>
    </w:p>
    <w:p>
      <w:pPr>
        <w:jc w:val="center"/>
      </w:pPr>
      <w:r>
        <w:drawing>
          <wp:inline xmlns:a="http://schemas.openxmlformats.org/drawingml/2006/main" xmlns:pic="http://schemas.openxmlformats.org/drawingml/2006/picture">
            <wp:extent cx="5976000" cy="1018636"/>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976000" cy="1018636"/>
                    </a:xfrm>
                    <a:prstGeom prst="rect"/>
                  </pic:spPr>
                </pic:pic>
              </a:graphicData>
            </a:graphic>
          </wp:inline>
        </w:drawing>
      </w:r>
    </w:p>
    <w:p>
      <w:pPr>
        <w:jc w:val="left"/>
      </w:pPr>
      <w:r>
        <w:rPr>
          <w:b/>
          <w:color w:val="66788C"/>
          <w:sz w:val="18"/>
        </w:rPr>
        <w:t>图 2</w:t>
      </w:r>
      <w:r>
        <w:rPr>
          <w:color w:val="66788C"/>
          <w:sz w:val="18"/>
        </w:rPr>
        <w:t xml:space="preserve"> · 证据链五环。任一报告数字可经案例台账回查到确切版本哈希与逐条数据出处;</w:t>
        <w:br/>
        <w:t xml:space="preserve">    不确定性/重要度运行与报告导出一样自动钉扎为案例。</w:t>
      </w:r>
    </w:p>
    <w:p>
      <w:pPr>
        <w:pStyle w:val="Heading1"/>
      </w:pPr>
      <w:r>
        <w:t>3 FTA/ETA 方法基础</w:t>
      </w:r>
    </w:p>
    <w:p>
      <w:r>
        <w:t>本章为非 PSA 背景的读者铺底:故障树(FTA)与事件树(ETA)各自回答什么问题、</w:t>
        <w:br/>
        <w:t xml:space="preserve">  图形元素与数学语义如何对应、两者如何组合成一次完整的 BESS 热失控风险量化。已熟悉 PSA 的读者可</w:t>
        <w:br/>
        <w:t xml:space="preserve">  直接进入 §4 的算法实现。</w:t>
      </w:r>
    </w:p>
    <w:p>
      <w:pPr>
        <w:pStyle w:val="Heading2"/>
      </w:pPr>
      <w:r>
        <w:t>3.1 故障树:自顶向下的演绎分析</w:t>
      </w:r>
    </w:p>
    <w:p>
      <w:r>
        <w:t>故障树回答"</w:t>
      </w:r>
      <w:r>
        <w:rPr>
          <w:b/>
        </w:rPr>
        <w:t>这个不期望事件为什么会发生</w:t>
      </w:r>
      <w:r>
        <w:rPr/>
        <w:t>":从一个</w:t>
      </w:r>
      <w:r>
        <w:rPr>
          <w:b/>
        </w:rPr>
        <w:t>顶事件</w:t>
      </w:r>
      <w:r>
        <w:rPr/>
        <w:br/>
        <w:t xml:space="preserve">  (如"舱级爆燃")出发,经逻辑门逐层分解到不可再分的</w:t>
      </w:r>
      <w:r>
        <w:rPr>
          <w:b/>
        </w:rPr>
        <w:t>基本事件</w:t>
      </w:r>
      <w:r>
        <w:rPr/>
        <w:t>(器件失效、</w:t>
        <w:br/>
        <w:t xml:space="preserve">  人因失误、点火源存在)。树是一个布尔函数:基本事件取真 = 该失效发生,顶事件的真值由门语义</w:t>
        <w:br/>
        <w:t xml:space="preserve">  逐层合成。图 3 给出一棵最小可用的教学树。</w:t>
      </w:r>
    </w:p>
    <w:p>
      <w:pPr>
        <w:jc w:val="center"/>
      </w:pPr>
      <w:r>
        <w:drawing>
          <wp:inline xmlns:a="http://schemas.openxmlformats.org/drawingml/2006/main" xmlns:pic="http://schemas.openxmlformats.org/drawingml/2006/picture">
            <wp:extent cx="5976000" cy="2241000"/>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976000" cy="2241000"/>
                    </a:xfrm>
                    <a:prstGeom prst="rect"/>
                  </pic:spPr>
                </pic:pic>
              </a:graphicData>
            </a:graphic>
          </wp:inline>
        </w:drawing>
      </w:r>
    </w:p>
    <w:p>
      <w:pPr>
        <w:jc w:val="left"/>
      </w:pPr>
      <w:r>
        <w:rPr>
          <w:b/>
          <w:color w:val="66788C"/>
          <w:sz w:val="18"/>
        </w:rPr>
        <w:t>图 3</w:t>
      </w:r>
      <w:r>
        <w:rPr>
          <w:color w:val="66788C"/>
          <w:sz w:val="18"/>
        </w:rPr>
        <w:t xml:space="preserve"> · 教学故障树:爆燃 = AND(可燃气未被排除, 点火源存在),</w:t>
        <w:br/>
        <w:t xml:space="preserve">    可燃气未被排除 = OR(探测失效, 排风失效)。独立假设下逐门合成概率;割集给出"哪些最小失效组合</w:t>
        <w:br/>
        <w:t xml:space="preserve">    足以引发顶事件"的工程视图。真实模型中共享事件/共因会使积式失效,见 §3.3 与 §4.3。</w:t>
      </w:r>
    </w:p>
    <w:p>
      <w:pPr>
        <w:spacing w:before="160"/>
      </w:pPr>
      <w:r>
        <w:rPr>
          <w:b/>
          <w:color w:val="66788C"/>
          <w:sz w:val="18"/>
        </w:rPr>
        <w:t>表 1</w:t>
      </w:r>
      <w:r>
        <w:rPr>
          <w:color w:val="66788C"/>
          <w:sz w:val="18"/>
        </w:rPr>
        <w:t xml:space="preserve"> · 门与事件符号语义(独立假设下的概率合成;k/n 表决门给出 2oo3 示例)</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fill="E8EDF5"/>
          </w:tcPr>
          <w:p>
            <w:r>
              <w:rPr>
                <w:b/>
                <w:sz w:val="17"/>
              </w:rPr>
              <w:t>元素</w:t>
            </w:r>
          </w:p>
        </w:tc>
        <w:tc>
          <w:tcPr>
            <w:tcW w:type="dxa" w:w="1994"/>
            <w:shd w:val="clear" w:fill="E8EDF5"/>
          </w:tcPr>
          <w:p>
            <w:r>
              <w:rPr>
                <w:b/>
                <w:sz w:val="17"/>
              </w:rPr>
              <w:t>图形</w:t>
            </w:r>
          </w:p>
        </w:tc>
        <w:tc>
          <w:tcPr>
            <w:tcW w:type="dxa" w:w="1994"/>
            <w:shd w:val="clear" w:fill="E8EDF5"/>
          </w:tcPr>
          <w:p>
            <w:r>
              <w:rPr>
                <w:b/>
                <w:sz w:val="17"/>
              </w:rPr>
              <w:t>语义</w:t>
            </w:r>
          </w:p>
        </w:tc>
        <w:tc>
          <w:tcPr>
            <w:tcW w:type="dxa" w:w="1994"/>
            <w:shd w:val="clear" w:fill="E8EDF5"/>
          </w:tcPr>
          <w:p>
            <w:r>
              <w:rPr>
                <w:b/>
                <w:sz w:val="17"/>
              </w:rPr>
              <w:t>概率(独立)</w:t>
            </w:r>
          </w:p>
        </w:tc>
        <w:tc>
          <w:tcPr>
            <w:tcW w:type="dxa" w:w="1994"/>
            <w:shd w:val="clear" w:fill="E8EDF5"/>
          </w:tcPr>
          <w:p>
            <w:r>
              <w:rPr>
                <w:b/>
                <w:sz w:val="17"/>
              </w:rPr>
              <w:t>本工具</w:t>
            </w:r>
          </w:p>
        </w:tc>
      </w:tr>
      <w:tr>
        <w:tc>
          <w:tcPr>
            <w:tcW w:type="dxa" w:w="1994"/>
          </w:tcPr>
          <w:p>
            <w:r>
              <w:rPr>
                <w:b/>
                <w:sz w:val="17"/>
              </w:rPr>
              <w:t>基本事件</w:t>
            </w:r>
          </w:p>
        </w:tc>
        <w:tc>
          <w:tcPr>
            <w:tcW w:type="dxa" w:w="1994"/>
          </w:tcPr>
          <w:p>
            <w:r>
              <w:rPr>
                <w:sz w:val="17"/>
              </w:rPr>
              <w:t>圆</w:t>
            </w:r>
          </w:p>
        </w:tc>
        <w:tc>
          <w:tcPr>
            <w:tcW w:type="dxa" w:w="1994"/>
          </w:tcPr>
          <w:p>
            <w:r>
              <w:rPr>
                <w:sz w:val="17"/>
              </w:rPr>
              <w:t>不可再分的失效/条件,挂可靠性模型(定值 q、λ-MTTR、λτ/2、λt)</w:t>
            </w:r>
          </w:p>
        </w:tc>
        <w:tc>
          <w:tcPr>
            <w:tcW w:type="dxa" w:w="1994"/>
          </w:tcPr>
          <w:p>
            <w:r>
              <w:rPr>
                <w:sz w:val="17"/>
              </w:rPr>
              <w:t>q 由参数层给出</w:t>
            </w:r>
          </w:p>
        </w:tc>
        <w:tc>
          <w:tcPr>
            <w:tcW w:type="dxa" w:w="1994"/>
          </w:tcPr>
          <w:p>
            <w:r>
              <w:rPr>
                <w:sz w:val="17"/>
              </w:rPr>
              <w:t>参数库共享引用;单位纪律 §7</w:t>
            </w:r>
          </w:p>
        </w:tc>
      </w:tr>
      <w:tr>
        <w:tc>
          <w:tcPr>
            <w:tcW w:type="dxa" w:w="1994"/>
          </w:tcPr>
          <w:p>
            <w:r>
              <w:rPr>
                <w:b/>
                <w:sz w:val="17"/>
              </w:rPr>
              <w:t>OR 门</w:t>
            </w:r>
          </w:p>
        </w:tc>
        <w:tc>
          <w:tcPr>
            <w:tcW w:type="dxa" w:w="1994"/>
          </w:tcPr>
          <w:p>
            <w:r>
              <w:rPr>
                <w:sz w:val="17"/>
              </w:rPr>
              <w:t>尖顶盾形</w:t>
            </w:r>
          </w:p>
        </w:tc>
        <w:tc>
          <w:tcPr>
            <w:tcW w:type="dxa" w:w="1994"/>
          </w:tcPr>
          <w:p>
            <w:r>
              <w:rPr>
                <w:sz w:val="17"/>
              </w:rPr>
              <w:t>任一输入发生即输出</w:t>
            </w:r>
          </w:p>
        </w:tc>
        <w:tc>
          <w:tcPr>
            <w:tcW w:type="dxa" w:w="1994"/>
          </w:tcPr>
          <w:p>
            <w:r>
              <w:rPr>
                <w:sz w:val="17"/>
              </w:rPr>
              <w:t>1 − Π(1−qᵢ)</w:t>
            </w:r>
          </w:p>
        </w:tc>
        <w:tc>
          <w:tcPr>
            <w:tcW w:type="dxa" w:w="1994"/>
          </w:tcPr>
          <w:p>
            <w:r>
              <w:rPr>
                <w:sz w:val="17"/>
              </w:rPr>
              <w:t>●</w:t>
            </w:r>
          </w:p>
        </w:tc>
      </w:tr>
      <w:tr>
        <w:tc>
          <w:tcPr>
            <w:tcW w:type="dxa" w:w="1994"/>
          </w:tcPr>
          <w:p>
            <w:r>
              <w:rPr>
                <w:b/>
                <w:sz w:val="17"/>
              </w:rPr>
              <w:t>AND 门</w:t>
            </w:r>
          </w:p>
        </w:tc>
        <w:tc>
          <w:tcPr>
            <w:tcW w:type="dxa" w:w="1994"/>
          </w:tcPr>
          <w:p>
            <w:r>
              <w:rPr>
                <w:sz w:val="17"/>
              </w:rPr>
              <w:t>平底拱形</w:t>
            </w:r>
          </w:p>
        </w:tc>
        <w:tc>
          <w:tcPr>
            <w:tcW w:type="dxa" w:w="1994"/>
          </w:tcPr>
          <w:p>
            <w:r>
              <w:rPr>
                <w:sz w:val="17"/>
              </w:rPr>
              <w:t>全部输入同时发生</w:t>
            </w:r>
          </w:p>
        </w:tc>
        <w:tc>
          <w:tcPr>
            <w:tcW w:type="dxa" w:w="1994"/>
          </w:tcPr>
          <w:p>
            <w:r>
              <w:rPr>
                <w:sz w:val="17"/>
              </w:rPr>
              <w:t>Π qᵢ</w:t>
            </w:r>
          </w:p>
        </w:tc>
        <w:tc>
          <w:tcPr>
            <w:tcW w:type="dxa" w:w="1994"/>
          </w:tcPr>
          <w:p>
            <w:r>
              <w:rPr>
                <w:sz w:val="17"/>
              </w:rPr>
              <w:t>●</w:t>
            </w:r>
          </w:p>
        </w:tc>
      </w:tr>
      <w:tr>
        <w:tc>
          <w:tcPr>
            <w:tcW w:type="dxa" w:w="1994"/>
          </w:tcPr>
          <w:p>
            <w:r>
              <w:rPr>
                <w:b/>
                <w:sz w:val="17"/>
              </w:rPr>
              <w:t>k/n 表决门</w:t>
            </w:r>
          </w:p>
        </w:tc>
        <w:tc>
          <w:tcPr>
            <w:tcW w:type="dxa" w:w="1994"/>
          </w:tcPr>
          <w:p>
            <w:r>
              <w:rPr>
                <w:sz w:val="17"/>
              </w:rPr>
              <w:t>盾形标 k/n</w:t>
            </w:r>
          </w:p>
        </w:tc>
        <w:tc>
          <w:tcPr>
            <w:tcW w:type="dxa" w:w="1994"/>
          </w:tcPr>
          <w:p>
            <w:r>
              <w:rPr>
                <w:sz w:val="17"/>
              </w:rPr>
              <w:t>n 路中 ≥k 路失效</w:t>
            </w:r>
          </w:p>
        </w:tc>
        <w:tc>
          <w:tcPr>
            <w:tcW w:type="dxa" w:w="1994"/>
          </w:tcPr>
          <w:p>
            <w:r>
              <w:rPr>
                <w:sz w:val="17"/>
              </w:rPr>
              <w:t>2oo3:3q²(1−q)+q³</w:t>
            </w:r>
          </w:p>
        </w:tc>
        <w:tc>
          <w:tcPr>
            <w:tcW w:type="dxa" w:w="1994"/>
          </w:tcPr>
          <w:p>
            <w:r>
              <w:rPr>
                <w:sz w:val="17"/>
              </w:rPr>
              <w:t>● VOTE(CCF 常与之伴生,§4.4)</w:t>
            </w:r>
          </w:p>
        </w:tc>
      </w:tr>
      <w:tr>
        <w:tc>
          <w:tcPr>
            <w:tcW w:type="dxa" w:w="1994"/>
          </w:tcPr>
          <w:p>
            <w:r>
              <w:rPr>
                <w:b/>
                <w:sz w:val="17"/>
              </w:rPr>
              <w:t>NOT / XOR</w:t>
            </w:r>
          </w:p>
        </w:tc>
        <w:tc>
          <w:tcPr>
            <w:tcW w:type="dxa" w:w="1994"/>
          </w:tcPr>
          <w:p>
            <w:r>
              <w:rPr>
                <w:sz w:val="17"/>
              </w:rPr>
              <w:t>非相干逻辑</w:t>
            </w:r>
          </w:p>
        </w:tc>
        <w:tc>
          <w:tcPr>
            <w:tcW w:type="dxa" w:w="1994"/>
          </w:tcPr>
          <w:p>
            <w:r>
              <w:rPr>
                <w:sz w:val="17"/>
              </w:rPr>
              <w:t>含否定的函数(检修互斥、状态切换)</w:t>
            </w:r>
          </w:p>
        </w:tc>
        <w:tc>
          <w:tcPr>
            <w:tcW w:type="dxa" w:w="1994"/>
          </w:tcPr>
          <w:p>
            <w:r>
              <w:rPr>
                <w:sz w:val="17"/>
              </w:rPr>
              <w:t>素蕴涵项取代 MCS</w:t>
            </w:r>
          </w:p>
        </w:tc>
        <w:tc>
          <w:tcPr>
            <w:tcW w:type="dxa" w:w="1994"/>
          </w:tcPr>
          <w:p>
            <w:r>
              <w:rPr>
                <w:sz w:val="17"/>
              </w:rPr>
              <w:t>● BDD 精确(§4.10);频率通道显式拒绝(§4.13)</w:t>
            </w:r>
          </w:p>
        </w:tc>
      </w:tr>
      <w:tr>
        <w:tc>
          <w:tcPr>
            <w:tcW w:type="dxa" w:w="1994"/>
          </w:tcPr>
          <w:p>
            <w:r>
              <w:rPr>
                <w:b/>
                <w:sz w:val="17"/>
              </w:rPr>
              <w:t>house 事件</w:t>
            </w:r>
          </w:p>
        </w:tc>
        <w:tc>
          <w:tcPr>
            <w:tcW w:type="dxa" w:w="1994"/>
          </w:tcPr>
          <w:p>
            <w:r>
              <w:rPr>
                <w:sz w:val="17"/>
              </w:rPr>
              <w:t>小屋形</w:t>
            </w:r>
          </w:p>
        </w:tc>
        <w:tc>
          <w:tcPr>
            <w:tcW w:type="dxa" w:w="1994"/>
          </w:tcPr>
          <w:p>
            <w:r>
              <w:rPr>
                <w:sz w:val="17"/>
              </w:rPr>
              <w:t>0/1 确定性开关(运行工况、边界条件)</w:t>
            </w:r>
          </w:p>
        </w:tc>
        <w:tc>
          <w:tcPr>
            <w:tcW w:type="dxa" w:w="1994"/>
          </w:tcPr>
          <w:p>
            <w:r>
              <w:rPr>
                <w:sz w:val="17"/>
              </w:rPr>
              <w:t>恒 0 或恒 1</w:t>
            </w:r>
          </w:p>
        </w:tc>
        <w:tc>
          <w:tcPr>
            <w:tcW w:type="dxa" w:w="1994"/>
          </w:tcPr>
          <w:p>
            <w:r>
              <w:rPr>
                <w:sz w:val="17"/>
              </w:rPr>
              <w:t>● 命名边界条件集(§4.7)</w:t>
            </w:r>
          </w:p>
        </w:tc>
      </w:tr>
      <w:tr>
        <w:tc>
          <w:tcPr>
            <w:tcW w:type="dxa" w:w="1994"/>
          </w:tcPr>
          <w:p>
            <w:r>
              <w:rPr>
                <w:b/>
                <w:sz w:val="17"/>
              </w:rPr>
              <w:t>转移门</w:t>
            </w:r>
          </w:p>
        </w:tc>
        <w:tc>
          <w:tcPr>
            <w:tcW w:type="dxa" w:w="1994"/>
          </w:tcPr>
          <w:p>
            <w:r>
              <w:rPr>
                <w:sz w:val="17"/>
              </w:rPr>
              <w:t>三角</w:t>
            </w:r>
          </w:p>
        </w:tc>
        <w:tc>
          <w:tcPr>
            <w:tcW w:type="dxa" w:w="1994"/>
          </w:tcPr>
          <w:p>
            <w:r>
              <w:rPr>
                <w:sz w:val="17"/>
              </w:rPr>
              <w:t>引用另一子树(复用/分页)</w:t>
            </w:r>
          </w:p>
        </w:tc>
        <w:tc>
          <w:tcPr>
            <w:tcW w:type="dxa" w:w="1994"/>
          </w:tcPr>
          <w:p>
            <w:r>
              <w:rPr>
                <w:sz w:val="17"/>
              </w:rPr>
              <w:t>—</w:t>
            </w:r>
          </w:p>
        </w:tc>
        <w:tc>
          <w:tcPr>
            <w:tcW w:type="dxa" w:w="1994"/>
          </w:tcPr>
          <w:p>
            <w:r>
              <w:rPr>
                <w:sz w:val="17"/>
              </w:rPr>
              <w:t>● 模型内子树引用</w:t>
            </w:r>
          </w:p>
        </w:tc>
      </w:tr>
    </w:tbl>
    <w:p>
      <w:pPr>
        <w:pStyle w:val="Heading2"/>
      </w:pPr>
      <w:r>
        <w:t>3.2 事件树:自初因向前的归纳分析</w:t>
      </w:r>
    </w:p>
    <w:p>
      <w:r>
        <w:t>事件树回答"</w:t>
      </w:r>
      <w:r>
        <w:rPr>
          <w:b/>
        </w:rPr>
        <w:t>初因发生之后会演成什么后果</w:t>
      </w:r>
      <w:r>
        <w:rPr/>
        <w:t>":从一个带年频率的</w:t>
      </w:r>
      <w:r>
        <w:rPr>
          <w:b/>
        </w:rPr>
        <w:t>初因事件</w:t>
      </w:r>
      <w:r>
        <w:rPr/>
        <w:br/>
        <w:t xml:space="preserve">  (IE,如"电芯内短路致热失控",单位 /yr)出发,按时间/因果顺序依次询问每道</w:t>
      </w:r>
      <w:r>
        <w:rPr>
          <w:b/>
        </w:rPr>
        <w:t>功能事件</w:t>
      </w:r>
      <w:r>
        <w:rPr/>
        <w:br/>
        <w:t xml:space="preserve">  (安全屏障)成功还是失败,展开成互斥的</w:t>
      </w:r>
      <w:r>
        <w:rPr>
          <w:b/>
        </w:rPr>
        <w:t>事故序列</w:t>
      </w:r>
      <w:r>
        <w:rPr/>
        <w:t>,每条序列终止于一个后果级</w:t>
        <w:br/>
        <w:t xml:space="preserve">  (本工具 C1–C5,§7)。序列频率为初因频率与沿途分支概率之积:</w:t>
      </w:r>
    </w:p>
    <w:p>
      <w:pPr>
        <w:jc w:val="center"/>
      </w:pPr>
      <w:r>
        <w:rPr>
          <w:sz w:val="22"/>
          <w:vertAlign w:val="subscript"/>
        </w:rPr>
        <w:t>seq</w:t>
      </w:r>
      <w:r>
        <w:rPr>
          <w:sz w:val="22"/>
        </w:rPr>
        <w:t xml:space="preserve"> = f</w:t>
      </w:r>
      <w:r>
        <w:rPr>
          <w:sz w:val="22"/>
          <w:vertAlign w:val="subscript"/>
        </w:rPr>
        <w:t>IE</w:t>
      </w:r>
      <w:r>
        <w:rPr>
          <w:sz w:val="22"/>
        </w:rPr>
        <w:t xml:space="preserve"> · Π</w:t>
      </w:r>
      <w:r>
        <w:rPr>
          <w:sz w:val="22"/>
          <w:vertAlign w:val="subscript"/>
        </w:rPr>
        <w:t>i∈路径</w:t>
      </w:r>
      <w:r>
        <w:rPr>
          <w:sz w:val="22"/>
        </w:rPr>
        <w:t xml:space="preserve"> p</w:t>
      </w:r>
      <w:r>
        <w:rPr>
          <w:sz w:val="22"/>
          <w:vertAlign w:val="subscript"/>
        </w:rPr>
        <w:t>i</w:t>
      </w:r>
      <w:r>
        <w:rPr>
          <w:sz w:val="22"/>
        </w:rPr>
        <w:t xml:space="preserve">,  </w:t>
        <w:br/>
        <w:t xml:space="preserve">    p</w:t>
      </w:r>
      <w:r>
        <w:rPr>
          <w:sz w:val="22"/>
          <w:vertAlign w:val="subscript"/>
        </w:rPr>
        <w:t>i</w:t>
      </w:r>
      <w:r>
        <w:rPr>
          <w:sz w:val="22"/>
        </w:rPr>
        <w:t xml:space="preserve"> = 失败分支取 PFD</w:t>
      </w:r>
      <w:r>
        <w:rPr>
          <w:sz w:val="22"/>
          <w:vertAlign w:val="subscript"/>
        </w:rPr>
        <w:t>i</w:t>
      </w:r>
      <w:r>
        <w:rPr>
          <w:sz w:val="22"/>
        </w:rPr>
        <w:t>,成功分支取 1−PFD</w:t>
      </w:r>
      <w:r>
        <w:rPr>
          <w:sz w:val="22"/>
          <w:vertAlign w:val="subscript"/>
        </w:rPr>
        <w:t>i</w:t>
      </w:r>
      <w:r>
        <w:rPr>
          <w:sz w:val="22"/>
        </w:rPr>
        <w:br/>
        <w:t xml:space="preserve">  </w:t>
      </w:r>
      <w:r>
        <w:rPr>
          <w:sz w:val="17"/>
        </w:rPr>
        <w:t xml:space="preserve">   (3-1)</w:t>
      </w:r>
    </w:p>
    <w:p>
      <w:pPr>
        <w:jc w:val="center"/>
      </w:pPr>
      <w:r>
        <w:drawing>
          <wp:inline xmlns:a="http://schemas.openxmlformats.org/drawingml/2006/main" xmlns:pic="http://schemas.openxmlformats.org/drawingml/2006/picture">
            <wp:extent cx="5976000" cy="2037273"/>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976000" cy="2037273"/>
                    </a:xfrm>
                    <a:prstGeom prst="rect"/>
                  </pic:spPr>
                </pic:pic>
              </a:graphicData>
            </a:graphic>
          </wp:inline>
        </w:drawing>
      </w:r>
    </w:p>
    <w:p>
      <w:pPr>
        <w:jc w:val="left"/>
      </w:pPr>
      <w:r>
        <w:rPr>
          <w:b/>
          <w:color w:val="66788C"/>
          <w:sz w:val="18"/>
        </w:rPr>
        <w:t>图 4</w:t>
      </w:r>
      <w:r>
        <w:rPr>
          <w:color w:val="66788C"/>
          <w:sz w:val="18"/>
        </w:rPr>
        <w:t xml:space="preserve"> · 级联事件树(本工具的直角走线制式):每道屏障成功即出树到后果,</w:t>
        <w:br/>
        <w:t xml:space="preserve">    失败下阶梯继续。序列互斥 ⇒ 频率求和守恒到初因频率;同一性质使组合总览的"C3+C4+C5 求和"</w:t>
        <w:br/>
        <w:t xml:space="preserve">    是恒等式而非近似(§5.4)。屏障 PFD 可为手输值,也可由挂载的故障树顶概率给出(§3.3)。</w:t>
      </w:r>
    </w:p>
    <w:p>
      <w:pPr>
        <w:spacing w:before="160"/>
      </w:pPr>
      <w:r>
        <w:rPr>
          <w:b/>
          <w:color w:val="66788C"/>
          <w:sz w:val="18"/>
        </w:rPr>
        <w:t>表 2</w:t>
      </w:r>
      <w:r>
        <w:rPr>
          <w:color w:val="66788C"/>
          <w:sz w:val="18"/>
        </w:rPr>
        <w:t xml:space="preserve"> · FTA 与 ETA 的分工对照</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E8EDF5"/>
          </w:tcPr>
          <w:p/>
        </w:tc>
        <w:tc>
          <w:tcPr>
            <w:tcW w:type="dxa" w:w="3324"/>
            <w:shd w:val="clear" w:fill="E8EDF5"/>
          </w:tcPr>
          <w:p>
            <w:r>
              <w:rPr>
                <w:b/>
                <w:sz w:val="17"/>
              </w:rPr>
              <w:t>故障树 FTA</w:t>
            </w:r>
          </w:p>
        </w:tc>
        <w:tc>
          <w:tcPr>
            <w:tcW w:type="dxa" w:w="3324"/>
            <w:shd w:val="clear" w:fill="E8EDF5"/>
          </w:tcPr>
          <w:p>
            <w:r>
              <w:rPr>
                <w:b/>
                <w:sz w:val="17"/>
              </w:rPr>
              <w:t>事件树 ETA</w:t>
            </w:r>
          </w:p>
        </w:tc>
      </w:tr>
      <w:tr>
        <w:tc>
          <w:tcPr>
            <w:tcW w:type="dxa" w:w="3324"/>
          </w:tcPr>
          <w:p>
            <w:r>
              <w:rPr>
                <w:sz w:val="17"/>
              </w:rPr>
              <w:t>推理方向</w:t>
            </w:r>
          </w:p>
        </w:tc>
        <w:tc>
          <w:tcPr>
            <w:tcW w:type="dxa" w:w="3324"/>
          </w:tcPr>
          <w:p>
            <w:r>
              <w:rPr>
                <w:sz w:val="17"/>
              </w:rPr>
              <w:t>演绎:从顶事件回溯"为什么"</w:t>
            </w:r>
          </w:p>
        </w:tc>
        <w:tc>
          <w:tcPr>
            <w:tcW w:type="dxa" w:w="3324"/>
          </w:tcPr>
          <w:p>
            <w:r>
              <w:rPr>
                <w:sz w:val="17"/>
              </w:rPr>
              <w:t>归纳:从初因前推"然后呢"</w:t>
            </w:r>
          </w:p>
        </w:tc>
      </w:tr>
      <w:tr>
        <w:tc>
          <w:tcPr>
            <w:tcW w:type="dxa" w:w="3324"/>
          </w:tcPr>
          <w:p>
            <w:r>
              <w:rPr>
                <w:sz w:val="17"/>
              </w:rPr>
              <w:t>起点</w:t>
            </w:r>
          </w:p>
        </w:tc>
        <w:tc>
          <w:tcPr>
            <w:tcW w:type="dxa" w:w="3324"/>
          </w:tcPr>
          <w:p>
            <w:r>
              <w:rPr>
                <w:sz w:val="17"/>
              </w:rPr>
              <w:t>顶事件(不期望状态)</w:t>
            </w:r>
          </w:p>
        </w:tc>
        <w:tc>
          <w:tcPr>
            <w:tcW w:type="dxa" w:w="3324"/>
          </w:tcPr>
          <w:p>
            <w:r>
              <w:rPr>
                <w:sz w:val="17"/>
              </w:rPr>
              <w:t>初因事件(带频率 /yr)</w:t>
            </w:r>
          </w:p>
        </w:tc>
      </w:tr>
      <w:tr>
        <w:tc>
          <w:tcPr>
            <w:tcW w:type="dxa" w:w="3324"/>
          </w:tcPr>
          <w:p>
            <w:r>
              <w:rPr>
                <w:sz w:val="17"/>
              </w:rPr>
              <w:t>输出</w:t>
            </w:r>
          </w:p>
        </w:tc>
        <w:tc>
          <w:tcPr>
            <w:tcW w:type="dxa" w:w="3324"/>
          </w:tcPr>
          <w:p>
            <w:r>
              <w:rPr>
                <w:sz w:val="17"/>
              </w:rPr>
              <w:t>最小割集 + 顶事件概率/不可用度</w:t>
            </w:r>
          </w:p>
        </w:tc>
        <w:tc>
          <w:tcPr>
            <w:tcW w:type="dxa" w:w="3324"/>
          </w:tcPr>
          <w:p>
            <w:r>
              <w:rPr>
                <w:sz w:val="17"/>
              </w:rPr>
              <w:t>互斥事故序列谱 + 各后果级频率</w:t>
            </w:r>
          </w:p>
        </w:tc>
      </w:tr>
      <w:tr>
        <w:tc>
          <w:tcPr>
            <w:tcW w:type="dxa" w:w="3324"/>
          </w:tcPr>
          <w:p>
            <w:r>
              <w:rPr>
                <w:sz w:val="17"/>
              </w:rPr>
              <w:t>量纲</w:t>
            </w:r>
          </w:p>
        </w:tc>
        <w:tc>
          <w:tcPr>
            <w:tcW w:type="dxa" w:w="3324"/>
          </w:tcPr>
          <w:p>
            <w:r>
              <w:rPr>
                <w:sz w:val="17"/>
              </w:rPr>
              <w:t>概率 / 按需 PFD(无量纲)</w:t>
            </w:r>
          </w:p>
        </w:tc>
        <w:tc>
          <w:tcPr>
            <w:tcW w:type="dxa" w:w="3324"/>
          </w:tcPr>
          <w:p>
            <w:r>
              <w:rPr>
                <w:sz w:val="17"/>
              </w:rPr>
              <w:t>频率(/yr)——概率×频率不可混算(§4.13)</w:t>
            </w:r>
          </w:p>
        </w:tc>
      </w:tr>
      <w:tr>
        <w:tc>
          <w:tcPr>
            <w:tcW w:type="dxa" w:w="3324"/>
          </w:tcPr>
          <w:p>
            <w:r>
              <w:rPr>
                <w:sz w:val="17"/>
              </w:rPr>
              <w:t>典型问题</w:t>
            </w:r>
          </w:p>
        </w:tc>
        <w:tc>
          <w:tcPr>
            <w:tcW w:type="dxa" w:w="3324"/>
          </w:tcPr>
          <w:p>
            <w:r>
              <w:rPr>
                <w:sz w:val="17"/>
              </w:rPr>
              <w:t>"屏障为何失效?哪组失效最要命?"</w:t>
            </w:r>
          </w:p>
        </w:tc>
        <w:tc>
          <w:tcPr>
            <w:tcW w:type="dxa" w:w="3324"/>
          </w:tcPr>
          <w:p>
            <w:r>
              <w:rPr>
                <w:sz w:val="17"/>
              </w:rPr>
              <w:t>"热失控发生后,几率多大烧到舱级?"</w:t>
            </w:r>
          </w:p>
        </w:tc>
      </w:tr>
      <w:tr>
        <w:tc>
          <w:tcPr>
            <w:tcW w:type="dxa" w:w="3324"/>
          </w:tcPr>
          <w:p>
            <w:r>
              <w:rPr>
                <w:sz w:val="17"/>
              </w:rPr>
              <w:t>相互馈送</w:t>
            </w:r>
          </w:p>
        </w:tc>
        <w:tc>
          <w:tcPr>
            <w:tcW w:type="dxa" w:w="3324"/>
          </w:tcPr>
          <w:p>
            <w:r>
              <w:rPr>
                <w:sz w:val="17"/>
              </w:rPr>
              <w:t>顶概率 → 屏障 PFD</w:t>
            </w:r>
          </w:p>
        </w:tc>
        <w:tc>
          <w:tcPr>
            <w:tcW w:type="dxa" w:w="3324"/>
          </w:tcPr>
          <w:p>
            <w:r>
              <w:rPr>
                <w:sz w:val="17"/>
              </w:rPr>
              <w:t>屏障失败分支 ← FTA;初因频率 ← 频率型 FTA(§4.13)</w:t>
            </w:r>
          </w:p>
        </w:tc>
      </w:tr>
    </w:tbl>
    <w:p>
      <w:pPr>
        <w:pStyle w:val="Heading2"/>
      </w:pPr>
      <w:r>
        <w:t>3.3 两者协同与 BESS 语境</w:t>
      </w:r>
    </w:p>
    <w:p>
      <w:r>
        <w:t>完整的 QRA 是"</w:t>
      </w:r>
      <w:r>
        <w:rPr>
          <w:b/>
        </w:rPr>
        <w:t>ETA 定骨架、FTA 供血肉</w:t>
      </w:r>
      <w:r>
        <w:rPr/>
        <w:t>"的组合(bow-tie 视角:左半 FTA 解释初因,</w:t>
        <w:br/>
        <w:t xml:space="preserve">  右半 ETA 展开后果):</w:t>
      </w:r>
    </w:p>
    <w:p>
      <w:pPr>
        <w:pStyle w:val="ListBullet"/>
      </w:pPr>
      <w:r>
        <w:rPr>
          <w:b/>
        </w:rPr>
        <w:t>屏障挂树</w:t>
      </w:r>
      <w:r>
        <w:rPr/>
        <w:t>:事件树中每道功能事件的失败概率可由一棵挂载故障树的顶事件概率给出</w:t>
        <w:br/>
        <w:t xml:space="preserve">      ——BESS 场景如「离气探测联动」= OR(传感失效, 逻辑失效, 执行失效) 再叠加共因;</w:t>
      </w:r>
    </w:p>
    <w:p>
      <w:pPr>
        <w:pStyle w:val="ListBullet"/>
      </w:pPr>
      <w:r>
        <w:rPr>
          <w:b/>
        </w:rPr>
        <w:t>共享事件是常态而非例外</w:t>
      </w:r>
      <w:r>
        <w:rPr/>
        <w:t>:多道屏障共用同一供电、同一 BMS、同一传感器时,</w:t>
        <w:br/>
        <w:t xml:space="preserve">      分支概率不再独立,图 4 的积式失效——必须在合并布尔模型上精确量化(§4.3 的 0.109 锚点即此);</w:t>
      </w:r>
    </w:p>
    <w:p>
      <w:pPr>
        <w:pStyle w:val="ListBullet"/>
      </w:pPr>
      <w:r>
        <w:rPr>
          <w:b/>
        </w:rPr>
        <w:t>初因也可建树</w:t>
      </w:r>
      <w:r>
        <w:rPr/>
        <w:t>:初因频率可由"频率型故障树"合成(每割集恰一个频率事件,</w:t>
        <w:br/>
        <w:t xml:space="preserve">      §4.13),与手动输入并列为两条通道;</w:t>
      </w:r>
    </w:p>
    <w:p>
      <w:pPr>
        <w:pStyle w:val="ListBullet"/>
      </w:pPr>
      <w:r>
        <w:rPr>
          <w:b/>
        </w:rPr>
        <w:t>尺度语境</w:t>
      </w:r>
      <w:r>
        <w:rPr/>
        <w:t>:BESS 模型跨电芯→模组→簇→舱四级,失效率单位随级别变化</w:t>
        <w:br/>
        <w:t xml:space="preserve">      (/cell·yr 与 /unit·yr 绝不静默换算,§7);后果级 C1(单体排气)到 C5(爆燃+毒气)</w:t>
        <w:br/>
        <w:t xml:space="preserve">      对应中电联严重度 0–IV(表 10)。</w:t>
      </w:r>
    </w:p>
    <w:tbl>
      <w:tblPr>
        <w:tblStyle w:val="TableGrid"/>
        <w:tblW w:type="auto" w:w="0"/>
        <w:tblLook w:firstColumn="1" w:firstRow="1" w:lastColumn="0" w:lastRow="0" w:noHBand="0" w:noVBand="1" w:val="04A0"/>
      </w:tblPr>
      <w:tblGrid>
        <w:gridCol w:w="9972"/>
      </w:tblGrid>
      <w:tr>
        <w:tc>
          <w:tcPr>
            <w:tcW w:type="dxa" w:w="9972"/>
            <w:shd w:val="clear" w:fill="E6F5F8"/>
          </w:tcPr>
          <w:p>
            <w:r>
              <w:rPr>
                <w:b/>
                <w:sz w:val="19"/>
              </w:rPr>
              <w:t>阅读路线。</w:t>
            </w:r>
            <w:r>
              <w:rPr>
                <w:sz w:val="19"/>
              </w:rPr>
              <w:t>只想会用工具:直接跳 §5 手册与 §6 示例;要核算法:§4 每小节</w:t>
              <w:br/>
              <w:t xml:space="preserve">  都给出公式来源、实现文件与锁定测试;要评估数据可信度:§7 分级 + 参考库逐条 citation。</w:t>
            </w:r>
          </w:p>
        </w:tc>
      </w:tr>
    </w:tbl>
    <w:p>
      <w:pPr>
        <w:spacing w:after="0"/>
      </w:pPr>
    </w:p>
    <w:p>
      <w:pPr>
        <w:pStyle w:val="Heading1"/>
      </w:pPr>
      <w:r>
        <w:t>4 算法详解</w:t>
      </w:r>
    </w:p>
    <w:p>
      <w:r>
        <w:t>定量内核的设计原则:</w:t>
      </w:r>
      <w:r>
        <w:rPr>
          <w:b/>
        </w:rPr>
        <w:t>能精确就不近似</w:t>
      </w:r>
      <w:r>
        <w:rPr/>
        <w:t>。顶事件概率与序列频率走 BDD 精确通道;</w:t>
        <w:br/>
        <w:t xml:space="preserve">  割集/截断/REA/MCUB 仅作为大模型工程近似与后处理语义存在,且永不污染精确通道。每个算法的公式来源、</w:t>
        <w:br/>
        <w:t xml:space="preserve">  实现位置与数值锚点在各小节标注。</w:t>
      </w:r>
    </w:p>
    <w:p>
      <w:pPr>
        <w:pStyle w:val="Heading2"/>
      </w:pPr>
      <w:r>
        <w:t>4.1 ROBDD 精确概率内核</w:t>
      </w:r>
    </w:p>
    <w:p>
      <w:r>
        <w:t>故障树先归一化为 PDAG(命题有向无环图:AND/OR/NOT/XOR/ATLEAST/NULL 门 + 基本事件 + house 常量),</w:t>
        <w:br/>
        <w:t xml:space="preserve">  经环检测、常量传播与同型门合并后,以固定变量序编译为</w:t>
      </w:r>
      <w:r>
        <w:rPr>
          <w:b/>
        </w:rPr>
        <w:t>约简有序二叉决策图</w:t>
      </w:r>
      <w:r>
        <w:rPr/>
        <w:t>(ROBDD)。</w:t>
        <w:br/>
        <w:t xml:space="preserve">  内核为自研纯 Python 实现(</w:t>
      </w:r>
      <w:r>
        <w:rPr>
          <w:rFonts w:ascii="Consolas" w:hAnsi="Consolas"/>
          <w:sz w:val="19"/>
        </w:rPr>
        <w:t>psaengine/bdd/kernel.py</w:t>
      </w:r>
      <w:r>
        <w:rPr/>
        <w:t>),两条约简规则:冗余节点消除</w:t>
        <w:br/>
        <w:t xml:space="preserve">  (</w:t>
      </w:r>
      <w:r>
        <w:rPr>
          <w:i/>
        </w:rPr>
        <w:t>hi = lo</w:t>
      </w:r>
      <w:r>
        <w:rPr/>
        <w:t xml:space="preserve"> 时返回子节点)与哈希共享(unique table),保证任一布尔函数在固定</w:t>
        <w:br/>
        <w:t xml:space="preserve">  变量序下有唯一规范型——这是"同模型必同结果"的结构性保证。</w:t>
      </w:r>
    </w:p>
    <w:p>
      <w:r>
        <w:rPr>
          <w:b/>
        </w:rPr>
        <w:t>刻意不用补边(complement edges)。</w:t>
      </w:r>
      <w:r>
        <w:rPr/>
        <w:t>带补边的 BDD 更省节点,但会使遍历协议与第三方</w:t>
        <w:br/>
        <w:t xml:space="preserve">  后端(CUDD)的语义对齐复杂化,并成为难以审计的错误源——本项目在 CUDD 适配器上曾实测到补边标记</w:t>
        <w:br/>
        <w:t xml:space="preserve">  在余因子操作中丢失导致非相干函数(含 NOT/XOR/成功分支)结果被破坏的缺陷,靠对拍测试锁定修复。</w:t>
        <w:br/>
        <w:t xml:space="preserve">  规范型的可解释性优先于节点数,是面向监管工具的取舍。</w:t>
      </w:r>
    </w:p>
    <w:p>
      <w:r>
        <w:t xml:space="preserve">所有布尔运算统一经 </w:t>
      </w:r>
      <w:r>
        <w:rPr>
          <w:b/>
        </w:rPr>
        <w:t>ITE(if-then-else)算子</w:t>
      </w:r>
      <w:r>
        <w:rPr/>
        <w:t>实现,Shannon 展开逐层递归并记忆化:</w:t>
      </w:r>
    </w:p>
    <w:p>
      <w:pPr>
        <w:jc w:val="center"/>
      </w:pPr>
      <w:r>
        <w:rPr>
          <w:i/>
          <w:sz w:val="22"/>
        </w:rPr>
        <w:t>f</w:t>
      </w:r>
      <w:r>
        <w:rPr>
          <w:sz w:val="22"/>
        </w:rPr>
        <w:t>,</w:t>
      </w:r>
      <w:r>
        <w:rPr>
          <w:i/>
          <w:sz w:val="22"/>
        </w:rPr>
        <w:t>g</w:t>
      </w:r>
      <w:r>
        <w:rPr>
          <w:sz w:val="22"/>
        </w:rPr>
        <w:t>,</w:t>
      </w:r>
      <w:r>
        <w:rPr>
          <w:i/>
          <w:sz w:val="22"/>
        </w:rPr>
        <w:t>h</w:t>
      </w:r>
      <w:r>
        <w:rPr>
          <w:sz w:val="22"/>
        </w:rPr>
        <w:t xml:space="preserve">) = </w:t>
      </w:r>
      <w:r>
        <w:rPr>
          <w:i/>
          <w:sz w:val="22"/>
        </w:rPr>
        <w:t>f</w:t>
      </w:r>
      <w:r>
        <w:rPr>
          <w:sz w:val="22"/>
        </w:rPr>
        <w:t>·</w:t>
      </w:r>
      <w:r>
        <w:rPr>
          <w:i/>
          <w:sz w:val="22"/>
        </w:rPr>
        <w:t>g</w:t>
      </w:r>
      <w:r>
        <w:rPr>
          <w:sz w:val="22"/>
        </w:rPr>
        <w:t xml:space="preserve"> + ¬</w:t>
      </w:r>
      <w:r>
        <w:rPr>
          <w:i/>
          <w:sz w:val="22"/>
        </w:rPr>
        <w:t>f</w:t>
      </w:r>
      <w:r>
        <w:rPr>
          <w:sz w:val="22"/>
        </w:rPr>
        <w:t>·</w:t>
      </w:r>
      <w:r>
        <w:rPr>
          <w:i/>
          <w:sz w:val="22"/>
        </w:rPr>
        <w:t>h</w:t>
      </w:r>
      <w:r>
        <w:rPr>
          <w:sz w:val="22"/>
        </w:rPr>
        <w:br/>
        <w:t xml:space="preserve">    = ⟨</w:t>
      </w:r>
      <w:r>
        <w:rPr>
          <w:i/>
          <w:sz w:val="22"/>
        </w:rPr>
        <w:t>v</w:t>
      </w:r>
      <w:r>
        <w:rPr>
          <w:sz w:val="22"/>
        </w:rPr>
        <w:t>, ite(</w:t>
      </w:r>
      <w:r>
        <w:rPr>
          <w:i/>
          <w:sz w:val="22"/>
        </w:rPr>
        <w:t>f</w:t>
      </w:r>
      <w:r>
        <w:rPr>
          <w:sz w:val="22"/>
          <w:vertAlign w:val="subscript"/>
        </w:rPr>
        <w:t>v</w:t>
      </w:r>
      <w:r>
        <w:rPr>
          <w:sz w:val="22"/>
        </w:rPr>
        <w:t>,</w:t>
      </w:r>
      <w:r>
        <w:rPr>
          <w:i/>
          <w:sz w:val="22"/>
        </w:rPr>
        <w:t>g</w:t>
      </w:r>
      <w:r>
        <w:rPr>
          <w:sz w:val="22"/>
          <w:vertAlign w:val="subscript"/>
        </w:rPr>
        <w:t>v</w:t>
      </w:r>
      <w:r>
        <w:rPr>
          <w:sz w:val="22"/>
        </w:rPr>
        <w:t>,</w:t>
      </w:r>
      <w:r>
        <w:rPr>
          <w:i/>
          <w:sz w:val="22"/>
        </w:rPr>
        <w:t>h</w:t>
      </w:r>
      <w:r>
        <w:rPr>
          <w:sz w:val="22"/>
          <w:vertAlign w:val="subscript"/>
        </w:rPr>
        <w:t>v</w:t>
      </w:r>
      <w:r>
        <w:rPr>
          <w:sz w:val="22"/>
        </w:rPr>
        <w:t>),</w:t>
        <w:br/>
        <w:t xml:space="preserve">    ite(</w:t>
      </w:r>
      <w:r>
        <w:rPr>
          <w:i/>
          <w:sz w:val="22"/>
        </w:rPr>
        <w:t>f</w:t>
      </w:r>
      <w:r>
        <w:rPr>
          <w:sz w:val="22"/>
          <w:vertAlign w:val="subscript"/>
        </w:rPr>
        <w:t>¬v</w:t>
      </w:r>
      <w:r>
        <w:rPr>
          <w:sz w:val="22"/>
        </w:rPr>
        <w:t>,</w:t>
      </w:r>
      <w:r>
        <w:rPr>
          <w:i/>
          <w:sz w:val="22"/>
        </w:rPr>
        <w:t>g</w:t>
      </w:r>
      <w:r>
        <w:rPr>
          <w:sz w:val="22"/>
          <w:vertAlign w:val="subscript"/>
        </w:rPr>
        <w:t>¬v</w:t>
      </w:r>
      <w:r>
        <w:rPr>
          <w:sz w:val="22"/>
        </w:rPr>
        <w:t>,</w:t>
      </w:r>
      <w:r>
        <w:rPr>
          <w:i/>
          <w:sz w:val="22"/>
        </w:rPr>
        <w:t>h</w:t>
      </w:r>
      <w:r>
        <w:rPr>
          <w:sz w:val="22"/>
          <w:vertAlign w:val="subscript"/>
        </w:rPr>
        <w:t>¬v</w:t>
      </w:r>
      <w:r>
        <w:rPr>
          <w:sz w:val="22"/>
        </w:rPr>
        <w:t>)⟩,</w:t>
        <w:br/>
        <w:t xml:space="preserve">    </w:t>
      </w:r>
      <w:r>
        <w:rPr>
          <w:i/>
          <w:sz w:val="22"/>
        </w:rPr>
        <w:t>v</w:t>
      </w:r>
      <w:r>
        <w:rPr>
          <w:sz w:val="22"/>
        </w:rPr>
        <w:t xml:space="preserve"> = min top-var</w:t>
        <w:br/>
        <w:t xml:space="preserve">  </w:t>
      </w:r>
      <w:r>
        <w:rPr>
          <w:sz w:val="17"/>
        </w:rPr>
        <w:t xml:space="preserve">   (4-1)</w:t>
      </w:r>
    </w:p>
    <w:p>
      <w:r>
        <w:t>其中 AND(</w:t>
      </w:r>
      <w:r>
        <w:rPr>
          <w:i/>
        </w:rPr>
        <w:t>f</w:t>
      </w:r>
      <w:r>
        <w:rPr/>
        <w:t>,</w:t>
      </w:r>
      <w:r>
        <w:rPr>
          <w:i/>
        </w:rPr>
        <w:t>g</w:t>
      </w:r>
      <w:r>
        <w:rPr/>
        <w:t>)=ite(</w:t>
      </w:r>
      <w:r>
        <w:rPr>
          <w:i/>
        </w:rPr>
        <w:t>f</w:t>
      </w:r>
      <w:r>
        <w:rPr/>
        <w:t>,</w:t>
      </w:r>
      <w:r>
        <w:rPr>
          <w:i/>
        </w:rPr>
        <w:t>g</w:t>
      </w:r>
      <w:r>
        <w:rPr/>
        <w:t>,0)、OR=ite(</w:t>
      </w:r>
      <w:r>
        <w:rPr>
          <w:i/>
        </w:rPr>
        <w:t>f</w:t>
      </w:r>
      <w:r>
        <w:rPr/>
        <w:t>,1,</w:t>
      </w:r>
      <w:r>
        <w:rPr>
          <w:i/>
        </w:rPr>
        <w:t>g</w:t>
      </w:r>
      <w:r>
        <w:rPr/>
        <w:t>)、</w:t>
        <w:br/>
        <w:t xml:space="preserve">  NOT=ite(</w:t>
      </w:r>
      <w:r>
        <w:rPr>
          <w:i/>
        </w:rPr>
        <w:t>f</w:t>
      </w:r>
      <w:r>
        <w:rPr/>
        <w:t>,0,1);</w:t>
      </w:r>
      <w:r>
        <w:rPr>
          <w:i/>
        </w:rPr>
        <w:t>k</w:t>
      </w:r>
      <w:r>
        <w:rPr/>
        <w:t>/</w:t>
      </w:r>
      <w:r>
        <w:rPr>
          <w:i/>
        </w:rPr>
        <w:t>n</w:t>
      </w:r>
      <w:r>
        <w:rPr/>
        <w:t xml:space="preserve"> 表决门(ATLEAST)以 ITE 递归</w:t>
        <w:br/>
        <w:t xml:space="preserve">  </w:t>
      </w:r>
      <w:r>
        <w:rPr>
          <w:i/>
        </w:rPr>
        <w:t>rec(i,need)=ite(x</w:t>
      </w:r>
      <w:r>
        <w:rPr>
          <w:i/>
          <w:vertAlign w:val="subscript"/>
        </w:rPr>
        <w:t>i</w:t>
      </w:r>
      <w:r>
        <w:rPr>
          <w:i/>
        </w:rPr>
        <w:t>, rec(i+1,need−1), rec(i+1,need))</w:t>
      </w:r>
      <w:r>
        <w:rPr/>
        <w:t xml:space="preserve"> 构造,精确处理门下挂门。</w:t>
      </w:r>
    </w:p>
    <w:p>
      <w:r>
        <w:rPr>
          <w:b/>
        </w:rPr>
        <w:t>精确概率</w:t>
      </w:r>
      <w:r>
        <w:rPr/>
        <w:t>沿 BDD 做单遍 Shannon 递归(实现为显式栈后序遍历,规避 Python 递归深度上限;</w:t>
        <w:br/>
        <w:t xml:space="preserve">  万级事件深图实测无栈溢出,基准 24 例逐位不变):</w:t>
      </w:r>
    </w:p>
    <w:p>
      <w:pPr>
        <w:jc w:val="center"/>
      </w:pPr>
      <w:r>
        <w:rPr>
          <w:i/>
          <w:sz w:val="22"/>
        </w:rPr>
        <w:t>f</w:t>
      </w:r>
      <w:r>
        <w:rPr>
          <w:sz w:val="22"/>
        </w:rPr>
        <w:t xml:space="preserve">) = </w:t>
      </w:r>
      <w:r>
        <w:rPr>
          <w:i/>
          <w:sz w:val="22"/>
        </w:rPr>
        <w:t>q</w:t>
      </w:r>
      <w:r>
        <w:rPr>
          <w:sz w:val="22"/>
          <w:vertAlign w:val="subscript"/>
        </w:rPr>
        <w:t>v</w:t>
      </w:r>
      <w:r>
        <w:rPr>
          <w:sz w:val="22"/>
        </w:rPr>
        <w:t>·P(</w:t>
      </w:r>
      <w:r>
        <w:rPr>
          <w:i/>
          <w:sz w:val="22"/>
        </w:rPr>
        <w:t>f</w:t>
      </w:r>
      <w:r>
        <w:rPr>
          <w:sz w:val="22"/>
          <w:vertAlign w:val="subscript"/>
        </w:rPr>
        <w:t>hi</w:t>
      </w:r>
      <w:r>
        <w:rPr>
          <w:sz w:val="22"/>
        </w:rPr>
        <w:t>) + (1−</w:t>
      </w:r>
      <w:r>
        <w:rPr>
          <w:i/>
          <w:sz w:val="22"/>
        </w:rPr>
        <w:t>q</w:t>
      </w:r>
      <w:r>
        <w:rPr>
          <w:sz w:val="22"/>
          <w:vertAlign w:val="subscript"/>
        </w:rPr>
        <w:t>v</w:t>
      </w:r>
      <w:r>
        <w:rPr>
          <w:sz w:val="22"/>
        </w:rPr>
        <w:t>)·P(</w:t>
      </w:r>
      <w:r>
        <w:rPr>
          <w:i/>
          <w:sz w:val="22"/>
        </w:rPr>
        <w:t>f</w:t>
      </w:r>
      <w:r>
        <w:rPr>
          <w:sz w:val="22"/>
          <w:vertAlign w:val="subscript"/>
        </w:rPr>
        <w:t>lo</w:t>
      </w:r>
      <w:r>
        <w:rPr>
          <w:sz w:val="22"/>
        </w:rPr>
        <w:t>),</w:t>
        <w:br/>
        <w:t xml:space="preserve">      P(⊤)=1, P(⊥)=0</w:t>
        <w:br/>
        <w:t xml:space="preserve">  </w:t>
      </w:r>
      <w:r>
        <w:rPr>
          <w:sz w:val="17"/>
        </w:rPr>
        <w:t xml:space="preserve">   (4-2)</w:t>
      </w:r>
    </w:p>
    <w:p>
      <w:r>
        <w:t>该式对任意相干/非相干结构给出</w:t>
      </w:r>
      <w:r>
        <w:rPr>
          <w:b/>
        </w:rPr>
        <w:t>数学精确</w:t>
      </w:r>
      <w:r>
        <w:rPr/>
        <w:t>的顶事件概率——无稀有事件假设、无 MCUB 上界、</w:t>
        <w:br/>
        <w:t xml:space="preserve">  无截断误差。这正是与以 MCS 为一等公民的商用工具的根本差异(§8)。</w:t>
      </w:r>
    </w:p>
    <w:p>
      <w:pPr>
        <w:jc w:val="center"/>
      </w:pPr>
      <w:r>
        <w:drawing>
          <wp:inline xmlns:a="http://schemas.openxmlformats.org/drawingml/2006/main" xmlns:pic="http://schemas.openxmlformats.org/drawingml/2006/picture">
            <wp:extent cx="5976000" cy="2084651"/>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5976000" cy="2084651"/>
                    </a:xfrm>
                    <a:prstGeom prst="rect"/>
                  </pic:spPr>
                </pic:pic>
              </a:graphicData>
            </a:graphic>
          </wp:inline>
        </w:drawing>
      </w:r>
    </w:p>
    <w:p>
      <w:pPr>
        <w:jc w:val="left"/>
      </w:pPr>
      <w:r>
        <w:rPr>
          <w:b/>
          <w:color w:val="66788C"/>
          <w:sz w:val="18"/>
        </w:rPr>
        <w:t>图 5</w:t>
      </w:r>
      <w:r>
        <w:rPr>
          <w:color w:val="66788C"/>
          <w:sz w:val="18"/>
        </w:rPr>
        <w:t xml:space="preserve"> · </w:t>
      </w:r>
      <w:r>
        <w:rPr>
          <w:i/>
          <w:color w:val="66788C"/>
          <w:sz w:val="18"/>
        </w:rPr>
        <w:t>f = A ∨ (B∧C)</w:t>
      </w:r>
      <w:r>
        <w:rPr>
          <w:color w:val="66788C"/>
          <w:sz w:val="18"/>
        </w:rPr>
        <w:t xml:space="preserve"> 在变量序 A&lt;B&lt;C 下的 ROBDD 与</w:t>
        <w:br/>
        <w:t xml:space="preserve">    式(4-2)的逐节点求值。unique table 保证同构子图只存一份。</w:t>
      </w:r>
    </w:p>
    <w:p>
      <w:r>
        <w:rPr>
          <w:b/>
        </w:rPr>
        <w:t>变量序</w:t>
      </w:r>
      <w:r>
        <w:rPr/>
        <w:t>采用 DFLM(depth-first left-most)启发式:按故障树深度优先遍历首次出现的顺序</w:t>
        <w:br/>
        <w:t xml:space="preserve">  排定基本事件——对手工构建的工程树,这一顺序天然把结构相关的事件排相邻,实测在基准语料上无一例爆炸。</w:t>
        <w:br/>
        <w:t xml:space="preserve">  BDD 变量序为 NP 困难问题,内核不做动态重排;规模换挡的答案是后端切换:</w:t>
        <w:br/>
        <w:t xml:space="preserve">  </w:t>
      </w:r>
      <w:r>
        <w:rPr>
          <w:rFonts w:ascii="Consolas" w:hAnsi="Consolas"/>
          <w:sz w:val="19"/>
        </w:rPr>
        <w:t>make_manager(order, backend)</w:t>
      </w:r>
      <w:r>
        <w:rPr/>
        <w:t xml:space="preserve"> 工厂在纯 Python(数百事件舒适区)、</w:t>
      </w:r>
      <w:r>
        <w:rPr>
          <w:rFonts w:ascii="Consolas" w:hAnsi="Consolas"/>
          <w:sz w:val="19"/>
        </w:rPr>
        <w:t>dd.autoref</w:t>
      </w:r>
      <w:r>
        <w:rPr/>
        <w:br/>
        <w:t xml:space="preserve">  (验证用)与 </w:t>
      </w:r>
      <w:r>
        <w:rPr>
          <w:rFonts w:ascii="Consolas" w:hAnsi="Consolas"/>
          <w:sz w:val="19"/>
        </w:rPr>
        <w:t>dd.cudd</w:t>
      </w:r>
      <w:r>
        <w:rPr/>
        <w:t>(CUDD,万级事件,macOS arm64 编译实证)间共享同一遍历协议</w:t>
        <w:br/>
        <w:t xml:space="preserve">  (</w:t>
      </w:r>
      <w:r>
        <w:rPr>
          <w:rFonts w:ascii="Consolas" w:hAnsi="Consolas"/>
          <w:sz w:val="19"/>
        </w:rPr>
        <w:t>is_terminal/top_var_index/cofactor/var_name</w:t>
      </w:r>
      <w:r>
        <w:rPr/>
        <w:t>),量化代码后端无关。</w:t>
      </w:r>
    </w:p>
    <w:p>
      <w:pPr>
        <w:pStyle w:val="Heading2"/>
      </w:pPr>
      <w:r>
        <w:t>4.2 最小割集、截断与工程近似</w:t>
      </w:r>
    </w:p>
    <w:p>
      <w:r>
        <w:t xml:space="preserve">割集提取走 </w:t>
      </w:r>
      <w:r>
        <w:rPr>
          <w:b/>
        </w:rPr>
        <w:t>BDD→ZBDD</w:t>
      </w:r>
      <w:r>
        <w:rPr/>
        <w:t xml:space="preserve"> 路线:枚举 BDD 中使函数为真的正文字路径得到候选集族,</w:t>
        <w:br/>
        <w:t xml:space="preserve">  转入零压缩决策图(ZBDD)做吸收律最小化(</w:t>
      </w:r>
      <w:r>
        <w:rPr>
          <w:i/>
        </w:rPr>
        <w:t>minimize</w:t>
      </w:r>
      <w:r>
        <w:rPr/>
        <w:t>),得到全部最小割集;</w:t>
        <w:br/>
        <w:t xml:space="preserve">  同时提供教科书 </w:t>
      </w:r>
      <w:r>
        <w:rPr>
          <w:b/>
        </w:rPr>
        <w:t>MOCUS</w:t>
      </w:r>
      <w:r>
        <w:rPr/>
        <w:t>(自顶向下门展开)作为交叉验证器——性质测试断言两法在随机树上</w:t>
        <w:br/>
        <w:t xml:space="preserve">  集族相等。非相干结构(含 NOT/XOR/成功逻辑)下"最小割集"不再良定义,内核提供</w:t>
      </w:r>
      <w:r>
        <w:rPr>
          <w:b/>
        </w:rPr>
        <w:t>素蕴涵项</w:t>
      </w:r>
      <w:r>
        <w:rPr/>
        <w:br/>
        <w:t xml:space="preserve">  (prime implicants)替代(§4.10)。</w:t>
      </w:r>
    </w:p>
    <w:p>
      <w:r>
        <w:t>截断按概率阈值与阶数双准则,并给出</w:t>
      </w:r>
      <w:r>
        <w:rPr>
          <w:b/>
        </w:rPr>
        <w:t>截断误差上界</w:t>
      </w:r>
      <w:r>
        <w:rPr/>
        <w:t>:被丢弃割集的概率和</w:t>
        <w:br/>
        <w:t xml:space="preserve">  </w:t>
      </w:r>
      <w:r>
        <w:rPr>
          <w:i/>
        </w:rPr>
        <w:t>ΔP</w:t>
      </w:r>
      <w:r>
        <w:rPr>
          <w:i/>
          <w:vertAlign w:val="subscript"/>
        </w:rPr>
        <w:t>k</w:t>
      </w:r>
      <w:r>
        <w:rPr>
          <w:i/>
        </w:rPr>
        <w:t xml:space="preserve"> = Σ</w:t>
      </w:r>
      <w:r>
        <w:rPr>
          <w:i/>
          <w:vertAlign w:val="subscript"/>
        </w:rPr>
        <w:t>丢弃</w:t>
      </w:r>
      <w:r>
        <w:rPr>
          <w:i/>
        </w:rPr>
        <w:t xml:space="preserve"> P(C</w:t>
      </w:r>
      <w:r>
        <w:rPr>
          <w:i/>
          <w:vertAlign w:val="subscript"/>
        </w:rPr>
        <w:t>i</w:t>
      </w:r>
      <w:r>
        <w:rPr>
          <w:i/>
        </w:rPr>
        <w:t>)</w:t>
      </w:r>
      <w:r>
        <w:rPr/>
        <w:t xml:space="preserve"> 随结果一并报告——用户看到的</w:t>
        <w:br/>
        <w:t xml:space="preserve">  永远是"值 + 该值可信到什么程度"。两个经典 MCS 概率近似仅在后处理语义下使用(§4.8):</w:t>
      </w:r>
    </w:p>
    <w:p>
      <w:pPr>
        <w:jc w:val="center"/>
      </w:pPr>
      <w:r>
        <w:rPr>
          <w:sz w:val="22"/>
          <w:vertAlign w:val="subscript"/>
        </w:rPr>
        <w:t>i</w:t>
      </w:r>
      <w:r>
        <w:rPr>
          <w:sz w:val="22"/>
        </w:rPr>
        <w:t xml:space="preserve"> P(C</w:t>
      </w:r>
      <w:r>
        <w:rPr>
          <w:sz w:val="22"/>
          <w:vertAlign w:val="subscript"/>
        </w:rPr>
        <w:t>i</w:t>
      </w:r>
      <w:r>
        <w:rPr>
          <w:sz w:val="22"/>
        </w:rPr>
        <w:t xml:space="preserve">)    </w:t>
        <w:br/>
        <w:t xml:space="preserve">    MCUB:  P ≈ 1 − ∏</w:t>
      </w:r>
      <w:r>
        <w:rPr>
          <w:sz w:val="22"/>
          <w:vertAlign w:val="subscript"/>
        </w:rPr>
        <w:t>i</w:t>
      </w:r>
      <w:r>
        <w:rPr>
          <w:sz w:val="22"/>
        </w:rPr>
        <w:t xml:space="preserve"> (1 − P(C</w:t>
      </w:r>
      <w:r>
        <w:rPr>
          <w:sz w:val="22"/>
          <w:vertAlign w:val="subscript"/>
        </w:rPr>
        <w:t>i</w:t>
      </w:r>
      <w:r>
        <w:rPr>
          <w:sz w:val="22"/>
        </w:rPr>
        <w:t>))</w:t>
        <w:br/>
        <w:t xml:space="preserve">  </w:t>
      </w:r>
      <w:r>
        <w:rPr>
          <w:sz w:val="17"/>
        </w:rPr>
        <w:t xml:space="preserve">   (4-3)</w:t>
      </w:r>
    </w:p>
    <w:p>
      <w:pPr>
        <w:pStyle w:val="Heading2"/>
      </w:pPr>
      <w:r>
        <w:t>4.3 事件树精确量化与成功分支精确否定</w:t>
      </w:r>
    </w:p>
    <w:p>
      <w:r>
        <w:t>事件树各功能事件(屏障)可直接给 PFD,或链接一棵故障树。量化时把</w:t>
      </w:r>
      <w:r>
        <w:rPr>
          <w:b/>
        </w:rPr>
        <w:t>全部链接故障树合并进同一个</w:t>
        <w:br/>
        <w:t xml:space="preserve">  PDAG 与同一个 BDD 管理器</w:t>
      </w:r>
      <w:r>
        <w:rPr/>
        <w:t xml:space="preserve">,每个屏障得到自己的顶 BDD </w:t>
      </w:r>
      <w:r>
        <w:rPr>
          <w:i/>
        </w:rPr>
        <w:t>g</w:t>
      </w:r>
      <w:r>
        <w:rPr>
          <w:i/>
          <w:vertAlign w:val="subscript"/>
        </w:rPr>
        <w:t>i</w:t>
      </w:r>
      <w:r>
        <w:rPr/>
        <w:t>;</w:t>
        <w:br/>
        <w:t xml:space="preserve">  序列表达式按路径逐屏障取"失效 = </w:t>
      </w:r>
      <w:r>
        <w:rPr>
          <w:i/>
        </w:rPr>
        <w:t>g</w:t>
      </w:r>
      <w:r>
        <w:rPr>
          <w:i/>
          <w:vertAlign w:val="subscript"/>
        </w:rPr>
        <w:t>i</w:t>
      </w:r>
      <w:r>
        <w:rPr/>
        <w:t xml:space="preserve"> / 成功 =</w:t>
        <w:br/>
        <w:t xml:space="preserve">  ¬</w:t>
      </w:r>
      <w:r>
        <w:rPr>
          <w:i/>
        </w:rPr>
        <w:t>g</w:t>
      </w:r>
      <w:r>
        <w:rPr>
          <w:i/>
          <w:vertAlign w:val="subscript"/>
        </w:rPr>
        <w:t>i</w:t>
      </w:r>
      <w:r>
        <w:rPr/>
        <w:t>"做 AND:</w:t>
      </w:r>
    </w:p>
    <w:p>
      <w:pPr>
        <w:jc w:val="center"/>
      </w:pPr>
      <w:r>
        <w:rPr>
          <w:sz w:val="22"/>
          <w:vertAlign w:val="subscript"/>
        </w:rPr>
        <w:t>i∈失效</w:t>
      </w:r>
      <w:r>
        <w:rPr>
          <w:sz w:val="22"/>
        </w:rPr>
        <w:t xml:space="preserve"> g</w:t>
      </w:r>
      <w:r>
        <w:rPr>
          <w:sz w:val="22"/>
          <w:vertAlign w:val="subscript"/>
        </w:rPr>
        <w:t>i</w:t>
      </w:r>
      <w:r>
        <w:rPr>
          <w:sz w:val="22"/>
        </w:rPr>
        <w:t xml:space="preserve"> ∧ ⋀</w:t>
      </w:r>
      <w:r>
        <w:rPr>
          <w:sz w:val="22"/>
          <w:vertAlign w:val="subscript"/>
        </w:rPr>
        <w:t>j∈成功</w:t>
      </w:r>
      <w:r>
        <w:rPr>
          <w:sz w:val="22"/>
        </w:rPr>
        <w:t xml:space="preserve"> ¬g</w:t>
      </w:r>
      <w:r>
        <w:rPr>
          <w:sz w:val="22"/>
          <w:vertAlign w:val="subscript"/>
        </w:rPr>
        <w:t>j</w:t>
      </w:r>
      <w:r>
        <w:rPr>
          <w:sz w:val="22"/>
        </w:rPr>
        <w:t xml:space="preserve"> ), </w:t>
        <w:br/>
        <w:t xml:space="preserve">    freq(seq) = f</w:t>
      </w:r>
      <w:r>
        <w:rPr>
          <w:sz w:val="22"/>
          <w:vertAlign w:val="subscript"/>
        </w:rPr>
        <w:t>IE</w:t>
      </w:r>
      <w:r>
        <w:rPr>
          <w:sz w:val="22"/>
        </w:rPr>
        <w:t xml:space="preserve"> · P(seq)</w:t>
        <w:br/>
        <w:t xml:space="preserve">  </w:t>
      </w:r>
      <w:r>
        <w:rPr>
          <w:sz w:val="17"/>
        </w:rPr>
        <w:t xml:space="preserve">   (4-4)</w:t>
      </w:r>
    </w:p>
    <w:p>
      <w:r>
        <w:t xml:space="preserve">因为所有 </w:t>
      </w:r>
      <w:r>
        <w:rPr>
          <w:i/>
        </w:rPr>
        <w:t>g</w:t>
      </w:r>
      <w:r>
        <w:rPr/>
        <w:t xml:space="preserve"> 建在同一管理器上,</w:t>
      </w:r>
      <w:r>
        <w:rPr>
          <w:b/>
        </w:rPr>
        <w:t>跨屏障共享的基本事件(含 CCF 展开产生的</w:t>
        <w:br/>
        <w:t xml:space="preserve">  共因事件)在成功与失效分支间自动保持一致</w:t>
      </w:r>
      <w:r>
        <w:rPr/>
        <w:t>——成功分支的否定是布尔精确的,而非</w:t>
        <w:br/>
        <w:t xml:space="preserve">  RiskSpectrum/SAPHIRE 系的 delete-term 割集删除近似。守护测试锁定的数值锚:两屏障均为</w:t>
        <w:br/>
        <w:t xml:space="preserve">  </w:t>
      </w:r>
      <w:r>
        <w:rPr>
          <w:i/>
        </w:rPr>
        <w:t>OR(S, X</w:t>
      </w:r>
      <w:r>
        <w:rPr>
          <w:i/>
          <w:vertAlign w:val="subscript"/>
        </w:rPr>
        <w:t>i</w:t>
      </w:r>
      <w:r>
        <w:rPr>
          <w:i/>
        </w:rPr>
        <w:t>)</w:t>
      </w:r>
      <w:r>
        <w:rPr/>
        <w:t xml:space="preserve">、共享事件 </w:t>
      </w:r>
      <w:r>
        <w:rPr>
          <w:i/>
        </w:rPr>
        <w:t>q</w:t>
      </w:r>
      <w:r>
        <w:rPr>
          <w:i/>
          <w:vertAlign w:val="subscript"/>
        </w:rPr>
        <w:t>S</w:t>
      </w:r>
      <w:r>
        <w:rPr/>
        <w:t>=0.1、</w:t>
        <w:br/>
        <w:t xml:space="preserve">  独立事件 </w:t>
      </w:r>
      <w:r>
        <w:rPr>
          <w:i/>
        </w:rPr>
        <w:t>q</w:t>
      </w:r>
      <w:r>
        <w:rPr>
          <w:i/>
          <w:vertAlign w:val="subscript"/>
        </w:rPr>
        <w:t>X</w:t>
      </w:r>
      <w:r>
        <w:rPr/>
        <w:t>=0.1(各顶值 0.19)时,双失效序列 LL 的精确概率为</w:t>
      </w:r>
    </w:p>
    <w:p>
      <w:pPr>
        <w:jc w:val="center"/>
      </w:pPr>
      <w:r>
        <w:rPr>
          <w:sz w:val="22"/>
          <w:vertAlign w:val="subscript"/>
        </w:rPr>
        <w:t>S</w:t>
      </w:r>
      <w:r>
        <w:rPr>
          <w:sz w:val="22"/>
        </w:rPr>
        <w:t xml:space="preserve"> + (1−q</w:t>
      </w:r>
      <w:r>
        <w:rPr>
          <w:sz w:val="22"/>
          <w:vertAlign w:val="subscript"/>
        </w:rPr>
        <w:t>S</w:t>
      </w:r>
      <w:r>
        <w:rPr>
          <w:sz w:val="22"/>
        </w:rPr>
        <w:t>)·q</w:t>
      </w:r>
      <w:r>
        <w:rPr>
          <w:sz w:val="22"/>
          <w:vertAlign w:val="subscript"/>
        </w:rPr>
        <w:t>X₁</w:t>
      </w:r>
      <w:r>
        <w:rPr>
          <w:sz w:val="22"/>
        </w:rPr>
        <w:t>q</w:t>
      </w:r>
      <w:r>
        <w:rPr>
          <w:sz w:val="22"/>
          <w:vertAlign w:val="subscript"/>
        </w:rPr>
        <w:t>X₂</w:t>
      </w:r>
      <w:r>
        <w:rPr>
          <w:sz w:val="22"/>
        </w:rPr>
        <w:t xml:space="preserve"> = 0.1 + 0.9×0.01 =</w:t>
        <w:br/>
        <w:t xml:space="preserve">    </w:t>
      </w:r>
      <w:r>
        <w:rPr>
          <w:sz w:val="22"/>
        </w:rPr>
        <w:t>0.109</w:t>
      </w:r>
      <w:r>
        <w:rPr>
          <w:sz w:val="22"/>
        </w:rPr>
        <w:t xml:space="preserve">  ≠  0.19² = 0.0361(独立乘积,低估 3 倍)</w:t>
        <w:br/>
        <w:t xml:space="preserve">  </w:t>
      </w:r>
      <w:r>
        <w:rPr>
          <w:sz w:val="17"/>
        </w:rPr>
        <w:t xml:space="preserve">   (4-5)</w:t>
      </w:r>
    </w:p>
    <w:p>
      <w:r>
        <w:t>前端画布提供"积式实时"预览(独立乘积,毫秒级反馈),「引擎精确量化」按钮走式(4-4);两者数值分歧时</w:t>
        <w:br/>
        <w:t xml:space="preserve">  界面以 ▶ 标记提醒——快速反馈与精确真值各司其职,绝不混淆。事件树支持</w:t>
      </w:r>
      <w:r>
        <w:rPr>
          <w:b/>
        </w:rPr>
        <w:t>有序可跳过分支</w:t>
      </w:r>
      <w:r>
        <w:rPr/>
        <w:br/>
        <w:t xml:space="preserve">  不变式:分支判定屏障必须按功能事件表顺序出现、允许跳过(子集路径),该契约由测试守护并与引擎请求形状</w:t>
        <w:br/>
        <w:t xml:space="preserve">  绑定。McMicken 等模板的屏障口径统一为"TR 已触发,该屏障能否阻止升级到下一后果级"。</w:t>
      </w:r>
    </w:p>
    <w:p>
      <w:pPr>
        <w:jc w:val="center"/>
      </w:pPr>
      <w:r>
        <w:drawing>
          <wp:inline xmlns:a="http://schemas.openxmlformats.org/drawingml/2006/main" xmlns:pic="http://schemas.openxmlformats.org/drawingml/2006/picture">
            <wp:extent cx="5976000" cy="2241000"/>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5976000" cy="2241000"/>
                    </a:xfrm>
                    <a:prstGeom prst="rect"/>
                  </pic:spPr>
                </pic:pic>
              </a:graphicData>
            </a:graphic>
          </wp:inline>
        </w:drawing>
      </w:r>
    </w:p>
    <w:p>
      <w:pPr>
        <w:jc w:val="left"/>
      </w:pPr>
      <w:r>
        <w:rPr>
          <w:b/>
          <w:color w:val="66788C"/>
          <w:sz w:val="18"/>
        </w:rPr>
        <w:t>图 6</w:t>
      </w:r>
      <w:r>
        <w:rPr>
          <w:color w:val="66788C"/>
          <w:sz w:val="18"/>
        </w:rPr>
        <w:t xml:space="preserve"> · 级联事件树(内短路模板前三道屏障,独立情形的积式数值)。屏障链接故障树且</w:t>
        <w:br/>
        <w:t xml:space="preserve">    存在共享事件/共因时,右列频率改由式(4-4)精确给出。叶色 = C1–C5 后果级(§7)。</w:t>
      </w:r>
    </w:p>
    <w:p>
      <w:pPr>
        <w:pStyle w:val="Heading2"/>
      </w:pPr>
      <w:r>
        <w:t>4.4 共因失效(CCF):β / MGL / α / φ 全模型展开</w:t>
      </w:r>
    </w:p>
    <w:p>
      <w:r>
        <w:t>冗余通道(2oo3 传感、双接触器)被同一原因同时失效是 BESS 电气/控制系统的主导风险之一。</w:t>
        <w:br/>
        <w:t xml:space="preserve">  实现遵循 NUREG/CR-5485</w:t>
      </w:r>
      <w:r>
        <w:rPr>
          <w:vertAlign w:val="superscript"/>
        </w:rPr>
        <w:t>[5]</w:t>
      </w:r>
      <w:r>
        <w:rPr/>
        <w:t>,并与基准参考工具 SCRAM 的</w:t>
        <w:br/>
        <w:t xml:space="preserve">  源码逐式核对。设组规模 </w:t>
      </w:r>
      <w:r>
        <w:rPr>
          <w:i/>
        </w:rPr>
        <w:t>m</w:t>
      </w:r>
      <w:r>
        <w:rPr/>
        <w:t xml:space="preserve">、单部件总失效概率 </w:t>
      </w:r>
      <w:r>
        <w:rPr>
          <w:i/>
        </w:rPr>
        <w:t>Q</w:t>
      </w:r>
      <w:r>
        <w:rPr>
          <w:i/>
          <w:vertAlign w:val="subscript"/>
        </w:rPr>
        <w:t>t</w:t>
      </w:r>
      <w:r>
        <w:rPr/>
        <w:t>,</w:t>
        <w:br/>
        <w:t xml:space="preserve">  </w:t>
      </w:r>
      <w:r>
        <w:rPr>
          <w:i/>
        </w:rPr>
        <w:t>Q</w:t>
      </w:r>
      <w:r>
        <w:rPr>
          <w:i/>
          <w:vertAlign w:val="subscript"/>
        </w:rPr>
        <w:t>k</w:t>
      </w:r>
      <w:r>
        <w:rPr/>
        <w:t xml:space="preserve"> 为</w:t>
      </w:r>
      <w:r>
        <w:rPr>
          <w:b/>
        </w:rPr>
        <w:t>某一特定 k 重共因基本事件</w:t>
      </w:r>
      <w:r>
        <w:rPr/>
        <w:t>的概率:</w:t>
      </w:r>
    </w:p>
    <w:p>
      <w:pPr>
        <w:spacing w:before="160"/>
      </w:pPr>
      <w:r>
        <w:rPr>
          <w:b/>
          <w:color w:val="66788C"/>
          <w:sz w:val="18"/>
        </w:rPr>
        <w:t>表 3</w:t>
      </w:r>
      <w:r>
        <w:rPr>
          <w:color w:val="66788C"/>
          <w:sz w:val="18"/>
        </w:rPr>
        <w:t xml:space="preserve"> · CCF 参数模型与展开公式(实现:</w:t>
      </w:r>
      <w:r>
        <w:rPr>
          <w:rFonts w:ascii="Consolas" w:hAnsi="Consolas"/>
          <w:color w:val="66788C"/>
          <w:sz w:val="18"/>
        </w:rPr>
        <w:t>psaengine/preprocess/ccf_expand.py::q_levels</w:t>
      </w:r>
      <w:r>
        <w:rPr>
          <w:color w:val="66788C"/>
          <w:sz w:val="18"/>
        </w:rPr>
        <w: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E8EDF5"/>
          </w:tcPr>
          <w:p>
            <w:r>
              <w:rPr>
                <w:b/>
                <w:sz w:val="17"/>
              </w:rPr>
              <w:t>模型</w:t>
            </w:r>
          </w:p>
        </w:tc>
        <w:tc>
          <w:tcPr>
            <w:tcW w:type="dxa" w:w="2493"/>
            <w:shd w:val="clear" w:fill="E8EDF5"/>
          </w:tcPr>
          <w:p>
            <w:r>
              <w:rPr>
                <w:b/>
                <w:sz w:val="17"/>
              </w:rPr>
              <w:t>Q</w:t>
            </w:r>
            <w:r>
              <w:rPr>
                <w:b/>
                <w:sz w:val="17"/>
                <w:vertAlign w:val="subscript"/>
              </w:rPr>
              <w:t>k</w:t>
            </w:r>
            <w:r>
              <w:rPr>
                <w:b/>
                <w:sz w:val="17"/>
              </w:rPr>
              <w:t xml:space="preserve"> 公式</w:t>
            </w:r>
          </w:p>
        </w:tc>
        <w:tc>
          <w:tcPr>
            <w:tcW w:type="dxa" w:w="2493"/>
            <w:shd w:val="clear" w:fill="E8EDF5"/>
          </w:tcPr>
          <w:p>
            <w:r>
              <w:rPr>
                <w:b/>
                <w:sz w:val="17"/>
              </w:rPr>
              <w:t>因子键</w:t>
            </w:r>
          </w:p>
        </w:tc>
        <w:tc>
          <w:tcPr>
            <w:tcW w:type="dxa" w:w="2493"/>
            <w:shd w:val="clear" w:fill="E8EDF5"/>
          </w:tcPr>
          <w:p>
            <w:r>
              <w:rPr>
                <w:b/>
                <w:sz w:val="17"/>
              </w:rPr>
              <w:t>备注</w:t>
            </w:r>
          </w:p>
        </w:tc>
      </w:tr>
      <w:tr>
        <w:tc>
          <w:tcPr>
            <w:tcW w:type="dxa" w:w="2493"/>
          </w:tcPr>
          <w:p>
            <w:r>
              <w:rPr>
                <w:b/>
                <w:sz w:val="17"/>
              </w:rPr>
              <w:t>β 因子</w:t>
            </w:r>
          </w:p>
        </w:tc>
        <w:tc>
          <w:tcPr>
            <w:tcW w:type="dxa" w:w="2493"/>
          </w:tcPr>
          <w:p>
            <w:r>
              <w:rPr>
                <w:sz w:val="17"/>
              </w:rPr>
              <w:t>Q₁=(1−β)Q_t ; Q_m=β·Q_t</w:t>
            </w:r>
          </w:p>
        </w:tc>
        <w:tc>
          <w:tcPr>
            <w:tcW w:type="dxa" w:w="2493"/>
          </w:tcPr>
          <w:p>
            <w:r>
              <w:rPr>
                <w:rFonts w:ascii="Consolas" w:hAnsi="Consolas"/>
                <w:sz w:val="17"/>
              </w:rPr>
              <w:t>beta</w:t>
            </w:r>
          </w:p>
        </w:tc>
        <w:tc>
          <w:tcPr>
            <w:tcW w:type="dxa" w:w="2493"/>
          </w:tcPr>
          <w:p>
            <w:r>
              <w:rPr>
                <w:sz w:val="17"/>
              </w:rPr>
              <w:t>集总单事件展开(成员→OR(独立, CCF_g)),与 SCRAM 同</w:t>
            </w:r>
          </w:p>
        </w:tc>
      </w:tr>
      <w:tr>
        <w:tc>
          <w:tcPr>
            <w:tcW w:type="dxa" w:w="2493"/>
          </w:tcPr>
          <w:p>
            <w:r>
              <w:rPr>
                <w:b/>
                <w:sz w:val="17"/>
              </w:rPr>
              <w:t>MGL</w:t>
            </w:r>
          </w:p>
        </w:tc>
        <w:tc>
          <w:tcPr>
            <w:tcW w:type="dxa" w:w="2493"/>
          </w:tcPr>
          <w:p>
            <w:r>
              <w:rPr>
                <w:sz w:val="17"/>
              </w:rPr>
              <w:t>Q_k=[Π_{i≤k} ρ_i](1−ρ_{k+1})·Q_t / C(m−1,k−1)</w:t>
            </w:r>
          </w:p>
        </w:tc>
        <w:tc>
          <w:tcPr>
            <w:tcW w:type="dxa" w:w="2493"/>
          </w:tcPr>
          <w:p>
            <w:r>
              <w:rPr>
                <w:rFonts w:ascii="Consolas" w:hAnsi="Consolas"/>
                <w:sz w:val="17"/>
              </w:rPr>
              <w:t>beta,gamma,delta…</w:t>
            </w:r>
            <w:r>
              <w:rPr>
                <w:sz w:val="17"/>
              </w:rPr>
              <w:t>(ρ₂..)</w:t>
            </w:r>
          </w:p>
        </w:tc>
        <w:tc>
          <w:tcPr>
            <w:tcW w:type="dxa" w:w="2493"/>
          </w:tcPr>
          <w:p>
            <w:r>
              <w:rPr>
                <w:sz w:val="17"/>
              </w:rPr>
              <w:t>ρ₁=1, ρ_{m+1}=0;m=2 时退化为 β 模型(等价性测试)</w:t>
            </w:r>
          </w:p>
        </w:tc>
      </w:tr>
      <w:tr>
        <w:tc>
          <w:tcPr>
            <w:tcW w:type="dxa" w:w="2493"/>
          </w:tcPr>
          <w:p>
            <w:r>
              <w:rPr>
                <w:b/>
                <w:sz w:val="17"/>
              </w:rPr>
              <w:t>α 因子(非错峰,默认)</w:t>
            </w:r>
          </w:p>
        </w:tc>
        <w:tc>
          <w:tcPr>
            <w:tcW w:type="dxa" w:w="2493"/>
          </w:tcPr>
          <w:p>
            <w:r>
              <w:rPr>
                <w:sz w:val="17"/>
              </w:rPr>
              <w:t>Q_k = k·(α_k/α_t)·Q_t / C(m−1,k−1),  α_t=Σ j·α_j</w:t>
            </w:r>
          </w:p>
        </w:tc>
        <w:tc>
          <w:tcPr>
            <w:tcW w:type="dxa" w:w="2493"/>
          </w:tcPr>
          <w:p>
            <w:r>
              <w:rPr>
                <w:rFonts w:ascii="Consolas" w:hAnsi="Consolas"/>
                <w:sz w:val="17"/>
              </w:rPr>
              <w:t>alpha1..m</w:t>
            </w:r>
          </w:p>
        </w:tc>
        <w:tc>
          <w:tcPr>
            <w:tcW w:type="dxa" w:w="2493"/>
          </w:tcPr>
          <w:p>
            <w:r>
              <w:rPr>
                <w:sz w:val="17"/>
              </w:rPr>
              <w:t>SCRAM 仅实现此式;评审最常要求的模型</w:t>
            </w:r>
          </w:p>
        </w:tc>
      </w:tr>
      <w:tr>
        <w:tc>
          <w:tcPr>
            <w:tcW w:type="dxa" w:w="2493"/>
          </w:tcPr>
          <w:p>
            <w:r>
              <w:rPr>
                <w:b/>
                <w:sz w:val="17"/>
              </w:rPr>
              <w:t>α 因子(错峰)</w:t>
            </w:r>
          </w:p>
        </w:tc>
        <w:tc>
          <w:tcPr>
            <w:tcW w:type="dxa" w:w="2493"/>
          </w:tcPr>
          <w:p>
            <w:r>
              <w:rPr>
                <w:sz w:val="17"/>
              </w:rPr>
              <w:t>Q_k = α_k·Q_t / C(m−1,k−1)</w:t>
            </w:r>
          </w:p>
        </w:tc>
        <w:tc>
          <w:tcPr>
            <w:tcW w:type="dxa" w:w="2493"/>
          </w:tcPr>
          <w:p>
            <w:r>
              <w:rPr>
                <w:sz w:val="17"/>
              </w:rPr>
              <w:t xml:space="preserve">同上 + </w:t>
            </w:r>
            <w:r>
              <w:rPr>
                <w:rFonts w:ascii="Consolas" w:hAnsi="Consolas"/>
                <w:sz w:val="17"/>
              </w:rPr>
              <w:t>staggered</w:t>
            </w:r>
          </w:p>
        </w:tc>
        <w:tc>
          <w:tcPr>
            <w:tcW w:type="dxa" w:w="2493"/>
          </w:tcPr>
          <w:p>
            <w:r>
              <w:rPr>
                <w:sz w:val="17"/>
              </w:rPr>
              <w:t>要求 Σα=1(容差 1e-4),否则响亮拒绝——错峰式无 α_t 自归一</w:t>
            </w:r>
          </w:p>
        </w:tc>
      </w:tr>
      <w:tr>
        <w:tc>
          <w:tcPr>
            <w:tcW w:type="dxa" w:w="2493"/>
          </w:tcPr>
          <w:p>
            <w:r>
              <w:rPr>
                <w:b/>
                <w:sz w:val="17"/>
              </w:rPr>
              <w:t>φ 因子</w:t>
            </w:r>
          </w:p>
        </w:tc>
        <w:tc>
          <w:tcPr>
            <w:tcW w:type="dxa" w:w="2493"/>
          </w:tcPr>
          <w:p>
            <w:r>
              <w:rPr>
                <w:sz w:val="17"/>
              </w:rPr>
              <w:t>Q_k = φ_k·Q_t</w:t>
            </w:r>
          </w:p>
        </w:tc>
        <w:tc>
          <w:tcPr>
            <w:tcW w:type="dxa" w:w="2493"/>
          </w:tcPr>
          <w:p>
            <w:r>
              <w:rPr>
                <w:rFonts w:ascii="Consolas" w:hAnsi="Consolas"/>
                <w:sz w:val="17"/>
              </w:rPr>
              <w:t>phi1..m</w:t>
            </w:r>
          </w:p>
        </w:tc>
        <w:tc>
          <w:tcPr>
            <w:tcW w:type="dxa" w:w="2493"/>
          </w:tcPr>
          <w:p>
            <w:r>
              <w:rPr>
                <w:sz w:val="17"/>
              </w:rPr>
              <w:t>直接指定;Σφ=1 校验(SCRAM 约定)</w:t>
            </w:r>
          </w:p>
        </w:tc>
      </w:tr>
    </w:tbl>
    <w:p>
      <w:r>
        <w:t>mgl/α/φ 走</w:t>
      </w:r>
      <w:r>
        <w:rPr>
          <w:b/>
        </w:rPr>
        <w:t>全子集多层展开</w:t>
      </w:r>
      <w:r>
        <w:rPr/>
        <w:t>:每个 k≥2 的成员子集生成一个共因基本事件</w:t>
        <w:br/>
        <w:t xml:space="preserve">  </w:t>
      </w:r>
      <w:r>
        <w:rPr>
          <w:rFonts w:ascii="Consolas" w:hAnsi="Consolas"/>
          <w:sz w:val="19"/>
        </w:rPr>
        <w:t>CCF_{组}_{成员…}</w:t>
      </w:r>
      <w:r>
        <w:rPr/>
        <w:t>,成员原位改写为</w:t>
        <w:br/>
        <w:t xml:space="preserve">  </w:t>
      </w:r>
      <w:r>
        <w:rPr>
          <w:i/>
        </w:rPr>
        <w:t>OR(x__I, 含 x 的全部子集事件)</w:t>
      </w:r>
      <w:r>
        <w:rPr/>
        <w:t>(图 7)。展开满足一致性恒等式</w:t>
        <w:br/>
        <w:t xml:space="preserve">  (性质测试,m∈{2,3,4} × 随机因子 × 两种检验方案):</w:t>
      </w:r>
    </w:p>
    <w:p>
      <w:pPr>
        <w:jc w:val="center"/>
      </w:pPr>
      <w:r>
        <w:rPr>
          <w:sz w:val="22"/>
          <w:vertAlign w:val="subscript"/>
        </w:rPr>
        <w:t>k=1..m</w:t>
      </w:r>
      <w:r>
        <w:rPr>
          <w:sz w:val="22"/>
        </w:rPr>
        <w:t xml:space="preserve"> C(m−1, k−1) · Q</w:t>
      </w:r>
      <w:r>
        <w:rPr>
          <w:sz w:val="22"/>
          <w:vertAlign w:val="subscript"/>
        </w:rPr>
        <w:t>k</w:t>
      </w:r>
      <w:r>
        <w:rPr>
          <w:sz w:val="22"/>
        </w:rPr>
        <w:t xml:space="preserve"> = Q</w:t>
      </w:r>
      <w:r>
        <w:rPr>
          <w:sz w:val="22"/>
          <w:vertAlign w:val="subscript"/>
        </w:rPr>
        <w:t>t</w:t>
      </w:r>
      <w:r>
        <w:rPr>
          <w:sz w:val="22"/>
        </w:rPr>
        <w:br/>
        <w:t xml:space="preserve">  </w:t>
      </w:r>
      <w:r>
        <w:rPr>
          <w:sz w:val="17"/>
        </w:rPr>
        <w:t xml:space="preserve">   (4-6)</w:t>
      </w:r>
    </w:p>
    <w:p>
      <w:pPr>
        <w:jc w:val="center"/>
      </w:pPr>
      <w:r>
        <w:drawing>
          <wp:inline xmlns:a="http://schemas.openxmlformats.org/drawingml/2006/main" xmlns:pic="http://schemas.openxmlformats.org/drawingml/2006/picture">
            <wp:extent cx="5976000" cy="1629818"/>
            <wp:docPr id="7" name="Picture 7"/>
            <wp:cNvGraphicFramePr>
              <a:graphicFrameLocks noChangeAspect="1"/>
            </wp:cNvGraphicFramePr>
            <a:graphic>
              <a:graphicData uri="http://schemas.openxmlformats.org/drawingml/2006/picture">
                <pic:pic>
                  <pic:nvPicPr>
                    <pic:cNvPr id="0" name="fig-7.png"/>
                    <pic:cNvPicPr/>
                  </pic:nvPicPr>
                  <pic:blipFill>
                    <a:blip r:embed="rId15"/>
                    <a:stretch>
                      <a:fillRect/>
                    </a:stretch>
                  </pic:blipFill>
                  <pic:spPr>
                    <a:xfrm>
                      <a:off x="0" y="0"/>
                      <a:ext cx="5976000" cy="1629818"/>
                    </a:xfrm>
                    <a:prstGeom prst="rect"/>
                  </pic:spPr>
                </pic:pic>
              </a:graphicData>
            </a:graphic>
          </wp:inline>
        </w:drawing>
      </w:r>
    </w:p>
    <w:p>
      <w:pPr>
        <w:jc w:val="left"/>
      </w:pPr>
      <w:r>
        <w:rPr>
          <w:b/>
          <w:color w:val="66788C"/>
          <w:sz w:val="18"/>
        </w:rPr>
        <w:t>图 7</w:t>
      </w:r>
      <w:r>
        <w:rPr>
          <w:color w:val="66788C"/>
          <w:sz w:val="18"/>
        </w:rPr>
        <w:t xml:space="preserve"> · 多层 CCF 展开与数值锚。防误用护栏:组规模 &gt;6 拒绝(子集爆炸)、</w:t>
        <w:br/>
        <w:t xml:space="preserve">    成员部分在树/组间重叠响亮报错(静默重归一会无声改写共因概率)、多层模型要求成员同质</w:t>
        <w:br/>
        <w:t xml:space="preserve">    (异质提示改用 β 逐成员路径)。MEF </w:t>
      </w:r>
      <w:r>
        <w:rPr>
          <w:rFonts w:ascii="Consolas" w:hAnsi="Consolas"/>
          <w:color w:val="66788C"/>
          <w:sz w:val="18"/>
        </w:rPr>
        <w:t>define-CCF-group</w:t>
      </w:r>
      <w:r>
        <w:rPr>
          <w:color w:val="66788C"/>
          <w:sz w:val="18"/>
        </w:rPr>
        <w:t xml:space="preserve"> 解析/生成支持嵌套定义、</w:t>
        <w:br/>
        <w:t xml:space="preserve">    无 level 属性顺次分配与错峰标志经 </w:t>
      </w:r>
      <w:r>
        <w:rPr>
          <w:rFonts w:ascii="Consolas" w:hAnsi="Consolas"/>
          <w:color w:val="66788C"/>
          <w:sz w:val="18"/>
        </w:rPr>
        <w:t>attributes</w:t>
      </w:r>
      <w:r>
        <w:rPr>
          <w:color w:val="66788C"/>
          <w:sz w:val="18"/>
        </w:rPr>
        <w:t xml:space="preserve"> 无损往返。</w:t>
      </w:r>
    </w:p>
    <w:p>
      <w:pPr>
        <w:pStyle w:val="Heading2"/>
      </w:pPr>
      <w:r>
        <w:t>4.5 重要度度量</w:t>
      </w:r>
    </w:p>
    <w:p>
      <w:r>
        <w:t>故障树基本事件级(BDD 上以条件概率精确计算,非割集近似):</w:t>
      </w:r>
    </w:p>
    <w:p>
      <w:pPr>
        <w:spacing w:before="160"/>
      </w:pPr>
      <w:r>
        <w:rPr>
          <w:b/>
          <w:color w:val="66788C"/>
          <w:sz w:val="18"/>
        </w:rPr>
        <w:t>表 4</w:t>
      </w:r>
      <w:r>
        <w:rPr>
          <w:color w:val="66788C"/>
          <w:sz w:val="18"/>
        </w:rPr>
        <w:t xml:space="preserve"> · 重要度定义(P = 顶事件概率;P|x=1 表示强制事件 x 失效)</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E8EDF5"/>
          </w:tcPr>
          <w:p>
            <w:r>
              <w:rPr>
                <w:b/>
                <w:sz w:val="17"/>
              </w:rPr>
              <w:t>度量</w:t>
            </w:r>
          </w:p>
        </w:tc>
        <w:tc>
          <w:tcPr>
            <w:tcW w:type="dxa" w:w="3324"/>
            <w:shd w:val="clear" w:fill="E8EDF5"/>
          </w:tcPr>
          <w:p>
            <w:r>
              <w:rPr>
                <w:b/>
                <w:sz w:val="17"/>
              </w:rPr>
              <w:t>定义</w:t>
            </w:r>
          </w:p>
        </w:tc>
        <w:tc>
          <w:tcPr>
            <w:tcW w:type="dxa" w:w="3324"/>
            <w:shd w:val="clear" w:fill="E8EDF5"/>
          </w:tcPr>
          <w:p>
            <w:r>
              <w:rPr>
                <w:b/>
                <w:sz w:val="17"/>
              </w:rPr>
              <w:t>工程含义</w:t>
            </w:r>
          </w:p>
        </w:tc>
      </w:tr>
      <w:tr>
        <w:tc>
          <w:tcPr>
            <w:tcW w:type="dxa" w:w="3324"/>
          </w:tcPr>
          <w:p>
            <w:r>
              <w:rPr>
                <w:sz w:val="17"/>
              </w:rPr>
              <w:t xml:space="preserve">Birnbaum </w:t>
            </w:r>
            <w:r>
              <w:rPr>
                <w:i/>
                <w:sz w:val="17"/>
              </w:rPr>
              <w:t>B</w:t>
            </w:r>
            <w:r>
              <w:rPr>
                <w:i/>
                <w:sz w:val="17"/>
                <w:vertAlign w:val="subscript"/>
              </w:rPr>
              <w:t>i</w:t>
            </w:r>
          </w:p>
        </w:tc>
        <w:tc>
          <w:tcPr>
            <w:tcW w:type="dxa" w:w="3324"/>
          </w:tcPr>
          <w:p>
            <w:r>
              <w:rPr>
                <w:sz w:val="17"/>
              </w:rPr>
              <w:t>P(f|x_i=1) − P(f|x_i=0)</w:t>
            </w:r>
          </w:p>
        </w:tc>
        <w:tc>
          <w:tcPr>
            <w:tcW w:type="dxa" w:w="3324"/>
          </w:tcPr>
          <w:p>
            <w:r>
              <w:rPr>
                <w:sz w:val="17"/>
              </w:rPr>
              <w:t>结构敏感度:该事件"翻转"对顶事件的边际影响</w:t>
            </w:r>
          </w:p>
        </w:tc>
      </w:tr>
      <w:tr>
        <w:tc>
          <w:tcPr>
            <w:tcW w:type="dxa" w:w="3324"/>
          </w:tcPr>
          <w:p>
            <w:r>
              <w:rPr>
                <w:sz w:val="17"/>
              </w:rPr>
              <w:t xml:space="preserve">Fussell-Vesely </w:t>
            </w:r>
            <w:r>
              <w:rPr>
                <w:i/>
                <w:sz w:val="17"/>
              </w:rPr>
              <w:t>FV</w:t>
            </w:r>
            <w:r>
              <w:rPr>
                <w:i/>
                <w:sz w:val="17"/>
                <w:vertAlign w:val="subscript"/>
              </w:rPr>
              <w:t>i</w:t>
            </w:r>
          </w:p>
        </w:tc>
        <w:tc>
          <w:tcPr>
            <w:tcW w:type="dxa" w:w="3324"/>
          </w:tcPr>
          <w:p>
            <w:r>
              <w:rPr>
                <w:sz w:val="17"/>
              </w:rPr>
              <w:t>[P − P(f|x_i=0)] / P</w:t>
            </w:r>
          </w:p>
        </w:tc>
        <w:tc>
          <w:tcPr>
            <w:tcW w:type="dxa" w:w="3324"/>
          </w:tcPr>
          <w:p>
            <w:r>
              <w:rPr>
                <w:sz w:val="17"/>
              </w:rPr>
              <w:t>该事件参与的失效路径贡献占比</w:t>
            </w:r>
          </w:p>
        </w:tc>
      </w:tr>
      <w:tr>
        <w:tc>
          <w:tcPr>
            <w:tcW w:type="dxa" w:w="3324"/>
          </w:tcPr>
          <w:p>
            <w:r>
              <w:rPr>
                <w:sz w:val="17"/>
              </w:rPr>
              <w:t>RAW</w:t>
            </w:r>
          </w:p>
        </w:tc>
        <w:tc>
          <w:tcPr>
            <w:tcW w:type="dxa" w:w="3324"/>
          </w:tcPr>
          <w:p>
            <w:r>
              <w:rPr>
                <w:sz w:val="17"/>
              </w:rPr>
              <w:t>P(f|x_i=1) / P</w:t>
            </w:r>
          </w:p>
        </w:tc>
        <w:tc>
          <w:tcPr>
            <w:tcW w:type="dxa" w:w="3324"/>
          </w:tcPr>
          <w:p>
            <w:r>
              <w:rPr>
                <w:sz w:val="17"/>
              </w:rPr>
              <w:t>风险增加当量:假设必失效,风险放大几倍(维修优先级)</w:t>
            </w:r>
          </w:p>
        </w:tc>
      </w:tr>
      <w:tr>
        <w:tc>
          <w:tcPr>
            <w:tcW w:type="dxa" w:w="3324"/>
          </w:tcPr>
          <w:p>
            <w:r>
              <w:rPr>
                <w:sz w:val="17"/>
              </w:rPr>
              <w:t>RRW</w:t>
            </w:r>
          </w:p>
        </w:tc>
        <w:tc>
          <w:tcPr>
            <w:tcW w:type="dxa" w:w="3324"/>
          </w:tcPr>
          <w:p>
            <w:r>
              <w:rPr>
                <w:sz w:val="17"/>
              </w:rPr>
              <w:t>P / P(f|x_i=0)</w:t>
            </w:r>
          </w:p>
        </w:tc>
        <w:tc>
          <w:tcPr>
            <w:tcW w:type="dxa" w:w="3324"/>
          </w:tcPr>
          <w:p>
            <w:r>
              <w:rPr>
                <w:sz w:val="17"/>
              </w:rPr>
              <w:t>风险降低当量:假设完美,风险缩小几倍(改造上限)</w:t>
            </w:r>
          </w:p>
        </w:tc>
      </w:tr>
      <w:tr>
        <w:tc>
          <w:tcPr>
            <w:tcW w:type="dxa" w:w="3324"/>
          </w:tcPr>
          <w:p>
            <w:r>
              <w:rPr>
                <w:sz w:val="17"/>
              </w:rPr>
              <w:t>DIM</w:t>
            </w:r>
            <w:r>
              <w:rPr>
                <w:sz w:val="17"/>
                <w:vertAlign w:val="subscript"/>
              </w:rPr>
              <w:t>i</w:t>
            </w:r>
          </w:p>
        </w:tc>
        <w:tc>
          <w:tcPr>
            <w:tcW w:type="dxa" w:w="3324"/>
          </w:tcPr>
          <w:p>
            <w:r>
              <w:rPr>
                <w:sz w:val="17"/>
              </w:rPr>
              <w:t>B_i·q_i / Σ_j B_j·q_j</w:t>
            </w:r>
          </w:p>
        </w:tc>
        <w:tc>
          <w:tcPr>
            <w:tcW w:type="dxa" w:w="3324"/>
          </w:tcPr>
          <w:p>
            <w:r>
              <w:rPr>
                <w:sz w:val="17"/>
              </w:rPr>
              <w:t>微分重要度:小扰动下的归一化分摊</w:t>
            </w:r>
          </w:p>
        </w:tc>
      </w:tr>
    </w:tbl>
    <w:p>
      <w:r>
        <w:rPr>
          <w:b/>
        </w:rPr>
        <w:t>事件树屏障级</w:t>
      </w:r>
      <w:r>
        <w:rPr/>
        <w:t>用扰动法:把功能事件顶 BDD 强制为常量(</w:t>
      </w:r>
      <w:r>
        <w:rPr>
          <w:i/>
        </w:rPr>
        <w:t>g</w:t>
      </w:r>
      <w:r>
        <w:rPr>
          <w:i/>
          <w:vertAlign w:val="subscript"/>
        </w:rPr>
        <w:t>i</w:t>
      </w:r>
      <w:r>
        <w:rPr/>
        <w:t>:=⊤/⊥),</w:t>
        <w:br/>
        <w:t xml:space="preserve">  按后果类计算 </w:t>
      </w:r>
      <w:r>
        <w:rPr>
          <w:i/>
        </w:rPr>
        <w:t>FV=(R−R</w:t>
      </w:r>
      <w:r>
        <w:rPr>
          <w:i/>
          <w:vertAlign w:val="subscript"/>
        </w:rPr>
        <w:t>work</w:t>
      </w:r>
      <w:r>
        <w:rPr>
          <w:i/>
        </w:rPr>
        <w:t>)/R</w:t>
      </w:r>
      <w:r>
        <w:rPr/>
        <w:t xml:space="preserve"> 与</w:t>
        <w:br/>
        <w:t xml:space="preserve">  </w:t>
      </w:r>
      <w:r>
        <w:rPr>
          <w:i/>
        </w:rPr>
        <w:t>RAW=R</w:t>
      </w:r>
      <w:r>
        <w:rPr>
          <w:i/>
          <w:vertAlign w:val="subscript"/>
        </w:rPr>
        <w:t>fail</w:t>
      </w:r>
      <w:r>
        <w:rPr>
          <w:i/>
        </w:rPr>
        <w:t>/R</w:t>
      </w:r>
      <w:r>
        <w:rPr/>
        <w:t>。强制的是屏障顶而非其底事件——共享底事件下其他屏障</w:t>
        <w:br/>
        <w:t xml:space="preserve">  不受污染。注意良性后果(需屏障成功才到达,如 C1)FV 可为负、RAW 可 &lt;1,属正常语义并在界面注明。</w:t>
      </w:r>
    </w:p>
    <w:p>
      <w:pPr>
        <w:pStyle w:val="Heading2"/>
      </w:pPr>
      <w:r>
        <w:t>4.6 不确定性分析(蒙特卡洛)</w:t>
      </w:r>
    </w:p>
    <w:p>
      <w:r>
        <w:t>参数不确定性以分布描述(对数正态以中位数+误差因子 EF 参数化,另支持正态/均匀/Beta)。</w:t>
        <w:br/>
        <w:t xml:space="preserve">  对数正态抽样 </w:t>
      </w:r>
      <w:r>
        <w:rPr>
          <w:i/>
        </w:rPr>
        <w:t>σ = ln(EF)/1.645</w:t>
      </w:r>
      <w:r>
        <w:rPr/>
        <w:t>(EF 定义为 p95/p50)。</w:t>
      </w:r>
      <w:r>
        <w:rPr>
          <w:b/>
        </w:rPr>
        <w:t>共享底事件每次</w:t>
        <w:br/>
        <w:t xml:space="preserve">  迭代只抽一次</w:t>
      </w:r>
      <w:r>
        <w:rPr/>
        <w:t>——跨屏障/跨序列的状态知识相关性(state-of-knowledge correlation)自动保持,</w:t>
        <w:br/>
        <w:t xml:space="preserve">  这在 MCS 近似框架里往往被丢失。BDD 建一次、每次迭代仅重算式(4-2)概率,N=1000 默认秒级。</w:t>
        <w:br/>
        <w:t xml:space="preserve">  输出各后果类 C1–C5 的 p05/p50/p95 分位带 + 点估计;龙卷风图给出各参数对输出方差的排序。</w:t>
        <w:br/>
        <w:t xml:space="preserve">  不确定性运行与报告一样自动钉扎为分析案例(settings 含 samples/seed/EF,结果可复现)。</w:t>
      </w:r>
    </w:p>
    <w:p>
      <w:pPr>
        <w:pStyle w:val="Heading2"/>
      </w:pPr>
      <w:r>
        <w:t>4.7 边界条件与 house 事件</w:t>
      </w:r>
    </w:p>
    <w:p>
      <w:r>
        <w:t>house 事件是取值恒真/恒假的常量事件,用于表达运行工况(检修、旁路、季节配置)。归一化阶段做</w:t>
        <w:br/>
        <w:t xml:space="preserve">  常量传播(OR 含真→真;AND 含假→假;否则剔除常量参数),BDD 编译前逻辑已化简。</w:t>
        <w:br/>
        <w:t xml:space="preserve">  </w:t>
      </w:r>
      <w:r>
        <w:rPr>
          <w:b/>
        </w:rPr>
        <w:t>边界条件集</w:t>
      </w:r>
      <w:r>
        <w:rPr/>
        <w:t>是命名的 house 状态字典,可随模型定义、按名引用;显式</w:t>
        <w:br/>
        <w:t xml:space="preserve">  </w:t>
      </w:r>
      <w:r>
        <w:rPr>
          <w:rFonts w:ascii="Consolas" w:hAnsi="Consolas"/>
          <w:sz w:val="19"/>
        </w:rPr>
        <w:t>house_states</w:t>
      </w:r>
      <w:r>
        <w:rPr/>
        <w:t xml:space="preserve"> 覆盖命名集(逐键)。三条纪律:覆盖只作用于 PDAG </w:t>
      </w:r>
      <w:r>
        <w:rPr>
          <w:b/>
        </w:rPr>
        <w:t>副本</w:t>
      </w:r>
      <w:r>
        <w:rPr/>
        <w:br/>
        <w:t xml:space="preserve">  (模型本体不可被分析改写——审计前提);未知 id 或指向非 house 节点响亮报 400(静默忽略会让边界条件</w:t>
        <w:br/>
        <w:t xml:space="preserve">  悄悄失效);FTA/ETA/不确定性/重要度全通道接受同一组参数。</w:t>
      </w:r>
    </w:p>
    <w:p>
      <w:pPr>
        <w:pStyle w:val="Heading2"/>
      </w:pPr>
      <w:r>
        <w:t>4.8 割集后处理规则</w:t>
      </w:r>
    </w:p>
    <w:p>
      <w:r>
        <w:t>对标 RiskSpectrum 的 MCS 后处理语义,三类规则:</w:t>
      </w:r>
      <w:r>
        <w:rPr>
          <w:b/>
        </w:rPr>
        <w:t>互斥组</w:t>
      </w:r>
      <w:r>
        <w:rPr/>
        <w:t>(割集同含组内 ≥2 成员→删,</w:t>
        <w:br/>
        <w:t xml:space="preserve">  表达互斥维修态)、</w:t>
      </w:r>
      <w:r>
        <w:rPr>
          <w:b/>
        </w:rPr>
        <w:t>删除规则</w:t>
      </w:r>
      <w:r>
        <w:rPr/>
        <w:t>(割集 ⊇ 指定事件集→删)、</w:t>
      </w:r>
      <w:r>
        <w:rPr>
          <w:b/>
        </w:rPr>
        <w:t>恢复规则</w:t>
      </w:r>
      <w:r>
        <w:rPr/>
        <w:br/>
        <w:t xml:space="preserve">  (割集 ⊇ 触发集→追加恢复事件,概率相乘、阶+1,幂等不重复追加)。</w:t>
      </w:r>
      <w:r>
        <w:rPr>
          <w:b/>
        </w:rPr>
        <w:t>设计边界:规则只作用于</w:t>
        <w:br/>
        <w:t xml:space="preserve">  提取出的 MCS 列表,精确 BDD 概率通道不受任何影响</w:t>
      </w:r>
      <w:r>
        <w:rPr/>
        <w:t>——处理后列表以式(4-3)REA/MCUB 给出</w:t>
        <w:br/>
        <w:t xml:space="preserve">  MCS 级估计,与精确顶值在界面/报告中分列展示,该不变式由 API 测试直接断言。</w:t>
      </w:r>
    </w:p>
    <w:p>
      <w:pPr>
        <w:pStyle w:val="Heading2"/>
      </w:pPr>
      <w:r>
        <w:t>4.9 现场贝叶斯更新(Beta-二项)</w:t>
      </w:r>
    </w:p>
    <w:p>
      <w:r>
        <w:t>把现场检验数据(需求次数 N、失败次数 k)融合进屏障 PFD。先验两种:以当前 PFD 为均值、等效样本量</w:t>
        <w:br/>
        <w:t xml:space="preserve">  n₀ 的 Beta(</w:t>
      </w:r>
      <w:r>
        <w:rPr>
          <w:i/>
        </w:rPr>
        <w:t>α₀=p·n₀, β₀=(1−p)·n₀</w:t>
      </w:r>
      <w:r>
        <w:rPr/>
        <w:t>),或无信息 Jeffreys</w:t>
        <w:br/>
        <w:t xml:space="preserve">  (</w:t>
      </w:r>
      <w:r>
        <w:rPr>
          <w:i/>
        </w:rPr>
        <w:t>α₀=β₀=½</w:t>
      </w:r>
      <w:r>
        <w:rPr/>
        <w:t>)。共轭后验:</w:t>
      </w:r>
    </w:p>
    <w:p>
      <w:pPr>
        <w:jc w:val="center"/>
      </w:pPr>
      <w:r>
        <w:rPr>
          <w:sz w:val="22"/>
        </w:rPr>
        <w:t>(α₀+k)/(α₀+β₀+N)</w:t>
      </w:r>
      <w:r>
        <w:rPr>
          <w:sz w:val="22"/>
        </w:rPr>
        <w:t>,</w:t>
        <w:br/>
        <w:t xml:space="preserve">      p95 = Beta 分位数</w:t>
        <w:br/>
        <w:t xml:space="preserve">  </w:t>
      </w:r>
      <w:r>
        <w:rPr>
          <w:sz w:val="17"/>
        </w:rPr>
        <w:t xml:space="preserve">   (4-7)</w:t>
      </w:r>
    </w:p>
    <w:p>
      <w:r>
        <w:t>界面提供「采用后验均值 / 采用 95% 上限」两种保守度;采用即写入 PFD、置信升 A、</w:t>
        <w:br/>
        <w:t xml:space="preserve">  并自动生成证据链文本(N、k、先验、日期)。这是内置库 C/D 级数据向项目 A 级演进的规范路径。</w:t>
      </w:r>
    </w:p>
    <w:p>
      <w:pPr>
        <w:pStyle w:val="Heading2"/>
      </w:pPr>
      <w:r>
        <w:t>4.10 模块化与素蕴涵项</w:t>
      </w:r>
    </w:p>
    <w:p>
      <w:r>
        <w:rPr>
          <w:b/>
        </w:rPr>
        <w:t>模块化</w:t>
      </w:r>
      <w:r>
        <w:rPr/>
        <w:t>(Dutuit–Rauzy 线性时间算法</w:t>
      </w:r>
      <w:r>
        <w:rPr>
          <w:vertAlign w:val="superscript"/>
        </w:rPr>
        <w:t>[7]</w:t>
      </w:r>
      <w:r>
        <w:rPr/>
        <w:t>)</w:t>
        <w:br/>
        <w:t xml:space="preserve">  识别独立子树,子树概率可独立求值后作为超级事件回代——大树的分治通道。</w:t>
      </w:r>
      <w:r>
        <w:rPr>
          <w:b/>
        </w:rPr>
        <w:t>素蕴涵项</w:t>
      </w:r>
      <w:r>
        <w:rPr/>
        <w:br/>
        <w:t xml:space="preserve">  面向非相干函数:含否定逻辑时以 PI 取代 MCS 的语义(RiskSpectrum 不提供,本工具作为超集能力保留)。</w:t>
      </w:r>
    </w:p>
    <w:p>
      <w:pPr>
        <w:pStyle w:val="Heading2"/>
      </w:pPr>
      <w:r>
        <w:t>4.11 内容寻址版本库与审计</w:t>
      </w:r>
    </w:p>
    <w:p>
      <w:r>
        <w:t>存储为单文件 SQLite(WAL,零外部依赖)四表:</w:t>
      </w:r>
      <w:r>
        <w:rPr>
          <w:rFonts w:ascii="Consolas" w:hAnsi="Consolas"/>
          <w:sz w:val="19"/>
        </w:rPr>
        <w:t>projects / versions / audit_log / analysis_cases</w:t>
      </w:r>
      <w:r>
        <w:rPr/>
        <w:br/>
        <w:t xml:space="preserve">  (+ </w:t>
      </w:r>
      <w:r>
        <w:rPr>
          <w:rFonts w:ascii="Consolas" w:hAnsi="Consolas"/>
          <w:sz w:val="19"/>
        </w:rPr>
        <w:t>ai_drafts</w:t>
      </w:r>
      <w:r>
        <w:rPr/>
        <w:t>)。核心机制:</w:t>
      </w:r>
    </w:p>
    <w:p>
      <w:pPr>
        <w:pStyle w:val="ListBullet"/>
      </w:pPr>
      <w:r>
        <w:rPr>
          <w:b/>
        </w:rPr>
        <w:t>确定性身份</w:t>
      </w:r>
      <w:r>
        <w:rPr/>
        <w:t xml:space="preserve">:实体 UUID = </w:t>
      </w:r>
      <w:r>
        <w:rPr>
          <w:rFonts w:ascii="Consolas" w:hAnsi="Consolas"/>
          <w:sz w:val="19"/>
        </w:rPr>
        <w:t>uuid5(项目命名空间, 实体路径)</w:t>
      </w:r>
      <w:r>
        <w:rPr/>
        <w:t xml:space="preserve"> —— 同内容必同 ID,</w:t>
        <w:br/>
        <w:t xml:space="preserve">      是幂等与 diff 的前提;</w:t>
      </w:r>
    </w:p>
    <w:p>
      <w:pPr>
        <w:pStyle w:val="ListBullet"/>
      </w:pPr>
      <w:r>
        <w:rPr>
          <w:b/>
        </w:rPr>
        <w:t>内容哈希</w:t>
      </w:r>
      <w:r>
        <w:rPr/>
        <w:t>:规范 JSON(键排序、紧凑、剥离易变时间戳)取 SHA-256;</w:t>
        <w:br/>
        <w:t xml:space="preserve">      </w:t>
      </w:r>
      <w:r>
        <w:rPr>
          <w:b/>
        </w:rPr>
        <w:t>保存即版本、同哈希幂等返回既有版本</w:t>
      </w:r>
      <w:r>
        <w:rPr/>
        <w:t>,父链成历史;</w:t>
      </w:r>
    </w:p>
    <w:p>
      <w:pPr>
        <w:pStyle w:val="ListBullet"/>
      </w:pPr>
      <w:r>
        <w:rPr>
          <w:b/>
        </w:rPr>
        <w:t>append-only 审计</w:t>
      </w:r>
      <w:r>
        <w:rPr/>
        <w:t xml:space="preserve">:代码层无改写路径,数据库层 </w:t>
      </w:r>
      <w:r>
        <w:rPr>
          <w:rFonts w:ascii="Consolas" w:hAnsi="Consolas"/>
          <w:sz w:val="19"/>
        </w:rPr>
        <w:t>BEFORE UPDATE/DELETE</w:t>
      </w:r>
      <w:r>
        <w:rPr/>
        <w:br/>
        <w:t xml:space="preserve">      触发器 </w:t>
      </w:r>
      <w:r>
        <w:rPr>
          <w:rFonts w:ascii="Consolas" w:hAnsi="Consolas"/>
          <w:sz w:val="19"/>
        </w:rPr>
        <w:t>RAISE(ABORT)</w:t>
      </w:r>
      <w:r>
        <w:rPr/>
        <w:t xml:space="preserve"> 双保险,属性测试直接以裸 SQL 篡改并断言被拒;</w:t>
      </w:r>
    </w:p>
    <w:p>
      <w:pPr>
        <w:pStyle w:val="ListBullet"/>
      </w:pPr>
      <w:r>
        <w:rPr>
          <w:b/>
        </w:rPr>
        <w:t>分析案例</w:t>
      </w:r>
      <w:r>
        <w:rPr/>
        <w:t>:报告/不确定性/重要度运行自动钉扎 —— 绑定版本 id、引擎版本、完整设置与</w:t>
        <w:br/>
        <w:t xml:space="preserve">      结果,报告产物再回写 sha256;</w:t>
      </w:r>
    </w:p>
    <w:p>
      <w:pPr>
        <w:pStyle w:val="ListBullet"/>
      </w:pPr>
      <w:r>
        <w:rPr>
          <w:b/>
        </w:rPr>
        <w:t>模型对比</w:t>
      </w:r>
      <w:r>
        <w:rPr/>
        <w:t>:两版本的规范文档按 UUID 对齐,输出 added/removed/changed(含参数值</w:t>
        <w:br/>
        <w:t xml:space="preserve">      前后)——对标 RiskSpectrum Model Compare,前端报告页内置对比视图。</w:t>
      </w:r>
    </w:p>
    <w:p>
      <w:pPr>
        <w:pStyle w:val="Heading2"/>
      </w:pPr>
      <w:r>
        <w:t>4.12 AI 生成管线(ADR-3)</w:t>
      </w:r>
    </w:p>
    <w:p>
      <w:pPr>
        <w:jc w:val="center"/>
      </w:pPr>
      <w:r>
        <w:drawing>
          <wp:inline xmlns:a="http://schemas.openxmlformats.org/drawingml/2006/main" xmlns:pic="http://schemas.openxmlformats.org/drawingml/2006/picture">
            <wp:extent cx="5976000" cy="1480418"/>
            <wp:docPr id="8" name="Picture 8"/>
            <wp:cNvGraphicFramePr>
              <a:graphicFrameLocks noChangeAspect="1"/>
            </wp:cNvGraphicFramePr>
            <a:graphic>
              <a:graphicData uri="http://schemas.openxmlformats.org/drawingml/2006/picture">
                <pic:pic>
                  <pic:nvPicPr>
                    <pic:cNvPr id="0" name="fig-8.png"/>
                    <pic:cNvPicPr/>
                  </pic:nvPicPr>
                  <pic:blipFill>
                    <a:blip r:embed="rId16"/>
                    <a:stretch>
                      <a:fillRect/>
                    </a:stretch>
                  </pic:blipFill>
                  <pic:spPr>
                    <a:xfrm>
                      <a:off x="0" y="0"/>
                      <a:ext cx="5976000" cy="1480418"/>
                    </a:xfrm>
                    <a:prstGeom prst="rect"/>
                  </pic:spPr>
                </pic:pic>
              </a:graphicData>
            </a:graphic>
          </wp:inline>
        </w:drawing>
      </w:r>
    </w:p>
    <w:p>
      <w:pPr>
        <w:jc w:val="left"/>
      </w:pPr>
      <w:r>
        <w:rPr>
          <w:b/>
          <w:color w:val="66788C"/>
          <w:sz w:val="18"/>
        </w:rPr>
        <w:t>图 8</w:t>
      </w:r>
      <w:r>
        <w:rPr>
          <w:color w:val="66788C"/>
          <w:sz w:val="18"/>
        </w:rPr>
        <w:t xml:space="preserve"> · AI 草案管线。三条铁律:数值必须引用参考库条目(</w:t>
      </w:r>
      <w:r>
        <w:rPr>
          <w:rFonts w:ascii="Consolas" w:hAnsi="Consolas"/>
          <w:color w:val="66788C"/>
          <w:sz w:val="18"/>
        </w:rPr>
        <w:t>library_ref</w:t>
      </w:r>
      <w:r>
        <w:rPr>
          <w:color w:val="66788C"/>
          <w:sz w:val="18"/>
        </w:rPr>
        <w:t>)或</w:t>
        <w:br/>
        <w:t xml:space="preserve">    显式标注 </w:t>
      </w:r>
      <w:r>
        <w:rPr>
          <w:rFonts w:ascii="Consolas" w:hAnsi="Consolas"/>
          <w:color w:val="66788C"/>
          <w:sz w:val="18"/>
        </w:rPr>
        <w:t>ungrounded</w:t>
      </w:r>
      <w:r>
        <w:rPr>
          <w:color w:val="66788C"/>
          <w:sz w:val="18"/>
        </w:rPr>
        <w:t>;AI 自评 A/B 级=校验错误(AI 产物强制 D 级、「AI 草案,待人工审核」);</w:t>
        <w:br/>
        <w:t xml:space="preserve">    草案永不直接落库——逐元素接受后才进入文档,拒绝的屏障经 </w:t>
      </w:r>
      <w:r>
        <w:rPr>
          <w:rFonts w:ascii="Consolas" w:hAnsi="Consolas"/>
          <w:color w:val="66788C"/>
          <w:sz w:val="18"/>
        </w:rPr>
        <w:t>delFe</w:t>
      </w:r>
      <w:r>
        <w:rPr>
          <w:color w:val="66788C"/>
          <w:sz w:val="18"/>
        </w:rPr>
        <w:t xml:space="preserve"> 语义正确折叠。</w:t>
      </w:r>
    </w:p>
    <w:p>
      <w:pPr>
        <w:pStyle w:val="Heading2"/>
      </w:pPr>
      <w:r>
        <w:t>4.13 初因事件故障树 → 频率通道</w:t>
      </w:r>
    </w:p>
    <w:p>
      <w:r>
        <w:t>初因事件的量纲是</w:t>
      </w:r>
      <w:r>
        <w:rPr>
          <w:b/>
        </w:rPr>
        <w:t>频率(/yr)</w:t>
      </w:r>
      <w:r>
        <w:rPr/>
        <w:t>,不是概率——把初因树喂给概率端点会产出</w:t>
        <w:br/>
        <w:t xml:space="preserve">  无量纲数再错标为 /yr(OR 门按 1−Π(1−q) 封顶 1、AND 门得 1/yr² 之类的量纲灾难)。本工具为此</w:t>
        <w:br/>
        <w:t xml:space="preserve">  建有独立的频率量化通道,采用与 RiskSpectrum / SAPHIRE / CAFTA 一致的</w:t>
        <w:br/>
        <w:t xml:space="preserve">  </w:t>
      </w:r>
      <w:r>
        <w:rPr>
          <w:b/>
        </w:rPr>
        <w:t>initiator–enabler</w:t>
      </w:r>
      <w:r>
        <w:rPr/>
        <w:t xml:space="preserve"> 约定(Isograph FaultTree+ 亦提供同类初因-使能分析</w:t>
        <w:br/>
        <w:t xml:space="preserve">  </w:t>
      </w:r>
      <w:r>
        <w:rPr>
          <w:vertAlign w:val="superscript"/>
        </w:rPr>
        <w:t>[21]</w:t>
      </w:r>
      <w:r>
        <w:rPr/>
        <w:t>):每个最小割集</w:t>
      </w:r>
      <w:r>
        <w:rPr>
          <w:b/>
        </w:rPr>
        <w:t>恰好包含一个</w:t>
      </w:r>
      <w:r>
        <w:rPr/>
        <w:br/>
        <w:t xml:space="preserve">  频率型事件(initiator,λ /yr),其余为使能条件(enabler,无量纲概率 q):</w:t>
      </w:r>
    </w:p>
    <w:p>
      <w:pPr>
        <w:jc w:val="center"/>
      </w:pPr>
      <w:r>
        <w:rPr>
          <w:sz w:val="22"/>
          <w:vertAlign w:val="subscript"/>
        </w:rPr>
        <w:t>IE</w:t>
      </w:r>
      <w:r>
        <w:rPr>
          <w:sz w:val="22"/>
        </w:rPr>
        <w:t xml:space="preserve"> = Σ</w:t>
      </w:r>
      <w:r>
        <w:rPr>
          <w:sz w:val="22"/>
          <w:vertAlign w:val="subscript"/>
        </w:rPr>
        <w:t>k∈MCS</w:t>
      </w:r>
      <w:r>
        <w:rPr>
          <w:sz w:val="22"/>
        </w:rPr>
        <w:t xml:space="preserve"> λ</w:t>
      </w:r>
      <w:r>
        <w:rPr>
          <w:sz w:val="22"/>
          <w:vertAlign w:val="subscript"/>
        </w:rPr>
        <w:t>k</w:t>
      </w:r>
      <w:r>
        <w:rPr>
          <w:sz w:val="22"/>
        </w:rPr>
        <w:t xml:space="preserve"> · Π</w:t>
      </w:r>
      <w:r>
        <w:rPr>
          <w:sz w:val="22"/>
          <w:vertAlign w:val="subscript"/>
        </w:rPr>
        <w:t>e∈k</w:t>
      </w:r>
      <w:r>
        <w:rPr>
          <w:sz w:val="22"/>
        </w:rPr>
        <w:t xml:space="preserve"> q</w:t>
      </w:r>
      <w:r>
        <w:rPr>
          <w:sz w:val="22"/>
          <w:vertAlign w:val="subscript"/>
        </w:rPr>
        <w:t>e</w:t>
      </w:r>
      <w:r>
        <w:rPr>
          <w:sz w:val="22"/>
        </w:rPr>
        <w:t xml:space="preserve">   [/yr]</w:t>
        <w:br/>
        <w:t xml:space="preserve">  </w:t>
      </w:r>
      <w:r>
        <w:rPr>
          <w:sz w:val="17"/>
        </w:rPr>
        <w:t xml:space="preserve">   (4-8)</w:t>
      </w:r>
    </w:p>
    <w:p>
      <w:r>
        <w:t>频率是计数强度,互斥割集的并直接</w:t>
      </w:r>
      <w:r>
        <w:rPr>
          <w:b/>
        </w:rPr>
        <w:t>求和</w:t>
      </w:r>
      <w:r>
        <w:rPr/>
        <w:t>(绝不做 1−Π(1−·));共享</w:t>
        <w:br/>
        <w:t xml:space="preserve">  </w:t>
      </w:r>
      <w:r>
        <w:rPr>
          <w:b/>
        </w:rPr>
        <w:t>使能事件</w:t>
      </w:r>
      <w:r>
        <w:rPr/>
        <w:t>跨割集时该式仍精确,共享</w:t>
      </w:r>
      <w:r>
        <w:rPr>
          <w:b/>
        </w:rPr>
        <w:t>初因事件</w:t>
      </w:r>
      <w:r>
        <w:rPr/>
        <w:t>时为保守上界</w:t>
        <w:br/>
        <w:t xml:space="preserve">  (非稀有区间无界,文档化)。护栏全部"响亮失败":</w:t>
      </w:r>
    </w:p>
    <w:p>
      <w:pPr>
        <w:pStyle w:val="ListBullet"/>
      </w:pPr>
      <w:r>
        <w:t xml:space="preserve">任一割集含 0 或 ≥2 个频率事件 → </w:t>
      </w:r>
      <w:r>
        <w:rPr>
          <w:rFonts w:ascii="Consolas" w:hAnsi="Consolas"/>
          <w:sz w:val="19"/>
        </w:rPr>
        <w:t>FrequencyRuleError</w:t>
      </w:r>
      <w:r>
        <w:rPr/>
        <w:t>(400,中文 detail 点名割集);</w:t>
      </w:r>
    </w:p>
    <w:p>
      <w:pPr>
        <w:pStyle w:val="ListBullet"/>
      </w:pPr>
      <w:r>
        <w:t>非相干门(NOT/XOR)在规范化图上直接拒绝——静默错数比报错危险(评审 round-1 F1);</w:t>
      </w:r>
    </w:p>
    <w:p>
      <w:pPr>
        <w:pStyle w:val="ListBullet"/>
      </w:pPr>
      <w:r>
        <w:t>双向量纲护栏:频率参数进概率语境即 raise,负 λ / 负时间参数在源头拒绝;</w:t>
      </w:r>
    </w:p>
    <w:p>
      <w:pPr>
        <w:pStyle w:val="ListBullet"/>
      </w:pPr>
      <w:r>
        <w:t>前端频率模式:量纲切换、频率不钳位 ≤1、IE 树与屏障树共享基本事件的独立性 lint(双侧编辑路径均拦截并解释)。</w:t>
      </w:r>
    </w:p>
    <w:p>
      <w:r>
        <w:t>初因由此获得</w:t>
      </w:r>
      <w:r>
        <w:rPr>
          <w:b/>
        </w:rPr>
        <w:t>手动输入 / 频率型故障树</w:t>
      </w:r>
      <w:r>
        <w:rPr/>
        <w:t>两条并列通道;种子树 = 单频率事件 =</w:t>
        <w:br/>
        <w:t xml:space="preserve">  当前手动值,迁移零意外(预览实测 0.004 逐位不变)。该通道经 engine-reviewer 两轮对抗审查</w:t>
        <w:br/>
        <w:t xml:space="preserve">  (round-1 六项发现全修,round-2 PASS),规格含已知局限清单。</w:t>
      </w:r>
    </w:p>
    <w:p>
      <w:pPr>
        <w:pStyle w:val="Heading2"/>
      </w:pPr>
      <w:r>
        <w:t>4.14 评审签发与多用户认证</w:t>
      </w:r>
    </w:p>
    <w:p>
      <w:r>
        <w:t>面向监管的"谁在何时批准了哪个版本"在本工具是</w:t>
      </w:r>
      <w:r>
        <w:rPr>
          <w:b/>
        </w:rPr>
        <w:t>数据库物理事实</w:t>
      </w:r>
      <w:r>
        <w:rPr/>
        <w:t>,不是流程约定。</w:t>
        <w:br/>
        <w:t xml:space="preserve">  两层机制:</w:t>
      </w:r>
    </w:p>
    <w:p>
      <w:pPr>
        <w:pStyle w:val="ListBullet"/>
      </w:pPr>
      <w:r>
        <w:rPr>
          <w:b/>
        </w:rPr>
        <w:t>评审状态机</w:t>
      </w:r>
      <w:r>
        <w:rPr/>
        <w:t xml:space="preserve">(台账签发式):草稿(无评审行)→ </w:t>
      </w:r>
      <w:r>
        <w:rPr/>
        <w:t>送审中</w:t>
      </w:r>
      <w:r>
        <w:rPr/>
        <w:t xml:space="preserve"> →</w:t>
        <w:br/>
        <w:t xml:space="preserve">      </w:t>
      </w:r>
      <w:r>
        <w:rPr/>
        <w:t>已签发</w:t>
      </w:r>
      <w:r>
        <w:rPr/>
        <w:t xml:space="preserve">(终态)/ </w:t>
      </w:r>
      <w:r>
        <w:rPr/>
        <w:t>退回</w:t>
      </w:r>
      <w:r>
        <w:rPr/>
        <w:t>(须填理由,理由即证据)。数据库层双保险:</w:t>
        <w:br/>
        <w:t xml:space="preserve">      已签发行 </w:t>
      </w:r>
      <w:r>
        <w:rPr>
          <w:rFonts w:ascii="Consolas" w:hAnsi="Consolas"/>
          <w:sz w:val="19"/>
        </w:rPr>
        <w:t>BEFORE UPDATE/DELETE</w:t>
      </w:r>
      <w:r>
        <w:rPr/>
        <w:t xml:space="preserve"> 触发器直接 ABORT;部分唯一索引保证每项目至多一行在审。</w:t>
        <w:br/>
        <w:t xml:space="preserve">      签发写入签发人、时刻、版本哈希与</w:t>
      </w:r>
      <w:r>
        <w:rPr>
          <w:b/>
        </w:rPr>
        <w:t>角色快照</w:t>
      </w:r>
      <w:r>
        <w:rPr/>
        <w:t>(授权依据可从只增链重建,不依赖可变账户表);</w:t>
      </w:r>
    </w:p>
    <w:p>
      <w:pPr>
        <w:pStyle w:val="ListBullet"/>
      </w:pPr>
      <w:r>
        <w:rPr>
          <w:b/>
        </w:rPr>
        <w:t>导出门 = 内容寻址幂等</w:t>
      </w:r>
      <w:r>
        <w:rPr/>
        <w:t>:报告导出自动钉扎的版本若与已签发版本内容逐字节一致</w:t>
        <w:br/>
        <w:t xml:space="preserve">      (同哈希),页脚落签发行;任何未保存改动都是新哈希 → 自动成为「工作稿 — 未经签发」。</w:t>
        <w:br/>
        <w:t xml:space="preserve">      无需引入"冻结"概念,不可伪造盖章是存储层性质;</w:t>
      </w:r>
    </w:p>
    <w:p>
      <w:pPr>
        <w:pStyle w:val="ListBullet"/>
      </w:pPr>
      <w:r>
        <w:rPr>
          <w:b/>
        </w:rPr>
        <w:t>认证为部署开关</w:t>
      </w:r>
      <w:r>
        <w:rPr/>
        <w:t>:</w:t>
      </w:r>
      <w:r>
        <w:rPr>
          <w:rFonts w:ascii="Consolas" w:hAnsi="Consolas"/>
          <w:sz w:val="19"/>
        </w:rPr>
        <w:t>PSA_AUTH=off</w:t>
      </w:r>
      <w:r>
        <w:rPr/>
        <w:t>(默认)单机离线零摩擦——这是最高</w:t>
        <w:br/>
        <w:t xml:space="preserve">      不变式;</w:t>
      </w:r>
      <w:r>
        <w:rPr>
          <w:rFonts w:ascii="Consolas" w:hAnsi="Consolas"/>
          <w:sz w:val="19"/>
        </w:rPr>
        <w:t>local</w:t>
      </w:r>
      <w:r>
        <w:rPr/>
        <w:t xml:space="preserve"> 模式启用本地账户:argon2id 口令(RFC 9106 默认参数)、会话令牌</w:t>
        <w:br/>
        <w:t xml:space="preserve">      </w:t>
      </w:r>
      <w:r>
        <w:rPr>
          <w:b/>
        </w:rPr>
        <w:t>散列落库</w:t>
      </w:r>
      <w:r>
        <w:rPr/>
        <w:t>(库文件泄露 ≠ 会话劫持)、12 h TTL 过半滑动续期、未知用户走等时垫片</w:t>
        <w:br/>
        <w:t xml:space="preserve">      (枚举防御);三角色 </w:t>
      </w:r>
      <w:r>
        <w:rPr>
          <w:rFonts w:ascii="Consolas" w:hAnsi="Consolas"/>
          <w:sz w:val="19"/>
        </w:rPr>
        <w:t>analyst / reviewer / admin</w:t>
      </w:r>
      <w:r>
        <w:rPr/>
        <w:t xml:space="preserve"> 路由守卫(分析-评审职责分离),</w:t>
        <w:br/>
        <w:t xml:space="preserve">      保存走乐观并发(基线哈希不符 → 409 冲突对话,绝不静默覆盖);每条审计行携带</w:t>
        <w:br/>
        <w:t xml:space="preserve">      </w:t>
      </w:r>
      <w:r>
        <w:rPr>
          <w:rFonts w:ascii="Consolas" w:hAnsi="Consolas"/>
          <w:sz w:val="19"/>
        </w:rPr>
        <w:t>auth:off|local</w:t>
      </w:r>
      <w:r>
        <w:rPr/>
        <w:t xml:space="preserve"> 标记,OS 用户行与认证账户行在同一追踪链中可区分。</w:t>
      </w:r>
    </w:p>
    <w:p>
      <w:pPr>
        <w:pStyle w:val="Heading1"/>
      </w:pPr>
      <w:r>
        <w:t>5 工具手册</w:t>
      </w:r>
    </w:p>
    <w:p>
      <w:pPr>
        <w:pStyle w:val="Heading2"/>
      </w:pPr>
      <w:r>
        <w:t>5.1 安装与常用命令</w:t>
      </w:r>
    </w:p>
    <w:p>
      <w:r>
        <w:t xml:space="preserve">环境:macOS(主平台)· Python 3.12(uv 管理 </w:t>
      </w:r>
      <w:r>
        <w:rPr>
          <w:rFonts w:ascii="Consolas" w:hAnsi="Consolas"/>
          <w:sz w:val="19"/>
        </w:rPr>
        <w:t>.venv</w:t>
      </w:r>
      <w:r>
        <w:rPr/>
        <w:t>)· Node 20(nvm;非交互 shell 先</w:t>
        <w:br/>
        <w:t xml:space="preserve">  </w:t>
      </w:r>
      <w:r>
        <w:rPr>
          <w:rFonts w:ascii="Consolas" w:hAnsi="Consolas"/>
          <w:sz w:val="19"/>
        </w:rPr>
        <w:t>source ~/.nvm/nvm.sh</w:t>
      </w:r>
      <w:r>
        <w:rPr/>
        <w:t>)。版本钉扎:Vite 5 / React 18 / echarts 5 / ag-grid 32,不升级。</w:t>
      </w:r>
    </w:p>
    <w:p>
      <w:pPr>
        <w:spacing w:before="160"/>
      </w:pPr>
      <w:r>
        <w:rPr>
          <w:b/>
          <w:color w:val="66788C"/>
          <w:sz w:val="18"/>
        </w:rPr>
        <w:t>表 5</w:t>
      </w:r>
      <w:r>
        <w:rPr>
          <w:color w:val="66788C"/>
          <w:sz w:val="18"/>
        </w:rPr>
        <w:t xml:space="preserve"> · Makefile 目标</w:t>
      </w:r>
    </w:p>
    <w:tbl>
      <w:tblPr>
        <w:tblStyle w:val="TableGrid"/>
        <w:tblW w:type="auto" w:w="0"/>
        <w:jc w:val="center"/>
        <w:tblLook w:firstColumn="1" w:firstRow="1" w:lastColumn="0" w:lastRow="0" w:noHBand="0" w:noVBand="1" w:val="04A0"/>
      </w:tblPr>
      <w:tblGrid>
        <w:gridCol w:w="4986"/>
        <w:gridCol w:w="4986"/>
      </w:tblGrid>
      <w:tr>
        <w:tc>
          <w:tcPr>
            <w:tcW w:type="dxa" w:w="4986"/>
            <w:shd w:val="clear" w:fill="E8EDF5"/>
          </w:tcPr>
          <w:p>
            <w:r>
              <w:rPr>
                <w:b/>
                <w:sz w:val="17"/>
              </w:rPr>
              <w:t>命令</w:t>
            </w:r>
          </w:p>
        </w:tc>
        <w:tc>
          <w:tcPr>
            <w:tcW w:type="dxa" w:w="4986"/>
            <w:shd w:val="clear" w:fill="E8EDF5"/>
          </w:tcPr>
          <w:p>
            <w:r>
              <w:rPr>
                <w:b/>
                <w:sz w:val="17"/>
              </w:rPr>
              <w:t>作用</w:t>
            </w:r>
          </w:p>
        </w:tc>
      </w:tr>
      <w:tr>
        <w:tc>
          <w:tcPr>
            <w:tcW w:type="dxa" w:w="4986"/>
          </w:tcPr>
          <w:p>
            <w:r>
              <w:rPr>
                <w:rFonts w:ascii="Consolas" w:hAnsi="Consolas"/>
                <w:sz w:val="17"/>
              </w:rPr>
              <w:t>make backend</w:t>
            </w:r>
          </w:p>
        </w:tc>
        <w:tc>
          <w:tcPr>
            <w:tcW w:type="dxa" w:w="4986"/>
          </w:tcPr>
          <w:p>
            <w:r>
              <w:rPr>
                <w:sz w:val="17"/>
              </w:rPr>
              <w:t xml:space="preserve">FastAPI 后端 · </w:t>
            </w:r>
            <w:r>
              <w:rPr>
                <w:rFonts w:ascii="Consolas" w:hAnsi="Consolas"/>
                <w:sz w:val="17"/>
              </w:rPr>
              <w:t>127.0.0.1:8000</w:t>
            </w:r>
            <w:r>
              <w:rPr>
                <w:sz w:val="17"/>
              </w:rPr>
              <w:t>(uvicorn)</w:t>
            </w:r>
          </w:p>
        </w:tc>
      </w:tr>
      <w:tr>
        <w:tc>
          <w:tcPr>
            <w:tcW w:type="dxa" w:w="4986"/>
          </w:tcPr>
          <w:p>
            <w:r>
              <w:rPr>
                <w:rFonts w:ascii="Consolas" w:hAnsi="Consolas"/>
                <w:sz w:val="17"/>
              </w:rPr>
              <w:t>make frontend</w:t>
            </w:r>
          </w:p>
        </w:tc>
        <w:tc>
          <w:tcPr>
            <w:tcW w:type="dxa" w:w="4986"/>
          </w:tcPr>
          <w:p>
            <w:r>
              <w:rPr>
                <w:sz w:val="17"/>
              </w:rPr>
              <w:t xml:space="preserve">Vite 开发服务器 · </w:t>
            </w:r>
            <w:r>
              <w:rPr>
                <w:rFonts w:ascii="Consolas" w:hAnsi="Consolas"/>
                <w:sz w:val="17"/>
              </w:rPr>
              <w:t>127.0.0.1:5173</w:t>
            </w:r>
            <w:r>
              <w:rPr>
                <w:sz w:val="17"/>
              </w:rPr>
              <w:t>(/api 代理到 8000)</w:t>
            </w:r>
          </w:p>
        </w:tc>
      </w:tr>
      <w:tr>
        <w:tc>
          <w:tcPr>
            <w:tcW w:type="dxa" w:w="4986"/>
          </w:tcPr>
          <w:p>
            <w:r>
              <w:rPr>
                <w:rFonts w:ascii="Consolas" w:hAnsi="Consolas"/>
                <w:sz w:val="17"/>
              </w:rPr>
              <w:t>make run</w:t>
            </w:r>
          </w:p>
        </w:tc>
        <w:tc>
          <w:tcPr>
            <w:tcW w:type="dxa" w:w="4986"/>
          </w:tcPr>
          <w:p>
            <w:r>
              <w:rPr>
                <w:sz w:val="17"/>
              </w:rPr>
              <w:t>前后端一起</w:t>
            </w:r>
          </w:p>
        </w:tc>
      </w:tr>
      <w:tr>
        <w:tc>
          <w:tcPr>
            <w:tcW w:type="dxa" w:w="4986"/>
          </w:tcPr>
          <w:p>
            <w:r>
              <w:rPr>
                <w:rFonts w:ascii="Consolas" w:hAnsi="Consolas"/>
                <w:sz w:val="17"/>
              </w:rPr>
              <w:t>make test</w:t>
            </w:r>
            <w:r>
              <w:rPr>
                <w:sz w:val="17"/>
              </w:rPr>
              <w:t xml:space="preserve"> / </w:t>
            </w:r>
            <w:r>
              <w:rPr>
                <w:rFonts w:ascii="Consolas" w:hAnsi="Consolas"/>
                <w:sz w:val="17"/>
              </w:rPr>
              <w:t>test-py</w:t>
            </w:r>
            <w:r>
              <w:rPr>
                <w:sz w:val="17"/>
              </w:rPr>
              <w:t xml:space="preserve"> / </w:t>
            </w:r>
            <w:r>
              <w:rPr>
                <w:rFonts w:ascii="Consolas" w:hAnsi="Consolas"/>
                <w:sz w:val="17"/>
              </w:rPr>
              <w:t>test-fe</w:t>
            </w:r>
          </w:p>
        </w:tc>
        <w:tc>
          <w:tcPr>
            <w:tcW w:type="dxa" w:w="4986"/>
          </w:tcPr>
          <w:p>
            <w:r>
              <w:rPr>
                <w:sz w:val="17"/>
              </w:rPr>
              <w:t>常规测试门(不含基准)</w:t>
            </w:r>
          </w:p>
        </w:tc>
      </w:tr>
      <w:tr>
        <w:tc>
          <w:tcPr>
            <w:tcW w:type="dxa" w:w="4986"/>
          </w:tcPr>
          <w:p>
            <w:r>
              <w:rPr>
                <w:rFonts w:ascii="Consolas" w:hAnsi="Consolas"/>
                <w:sz w:val="17"/>
              </w:rPr>
              <w:t>make benchmark</w:t>
            </w:r>
          </w:p>
        </w:tc>
        <w:tc>
          <w:tcPr>
            <w:tcW w:type="dxa" w:w="4986"/>
          </w:tcPr>
          <w:p>
            <w:r>
              <w:rPr>
                <w:sz w:val="17"/>
              </w:rPr>
              <w:t>SCRAM/OpenFTA 对标基准语料(引擎改动的强制门)</w:t>
            </w:r>
          </w:p>
        </w:tc>
      </w:tr>
      <w:tr>
        <w:tc>
          <w:tcPr>
            <w:tcW w:type="dxa" w:w="4986"/>
          </w:tcPr>
          <w:p>
            <w:r>
              <w:rPr>
                <w:rFonts w:ascii="Consolas" w:hAnsi="Consolas"/>
                <w:sz w:val="17"/>
              </w:rPr>
              <w:t>make check</w:t>
            </w:r>
          </w:p>
        </w:tc>
        <w:tc>
          <w:tcPr>
            <w:tcW w:type="dxa" w:w="4986"/>
          </w:tcPr>
          <w:p>
            <w:r>
              <w:rPr>
                <w:sz w:val="17"/>
              </w:rPr>
              <w:t>提交前全门:diff-check + 前端测试 + 构建 + 后端测试</w:t>
            </w:r>
          </w:p>
        </w:tc>
      </w:tr>
      <w:tr>
        <w:tc>
          <w:tcPr>
            <w:tcW w:type="dxa" w:w="4986"/>
          </w:tcPr>
          <w:p>
            <w:r>
              <w:rPr>
                <w:rFonts w:ascii="Consolas" w:hAnsi="Consolas"/>
                <w:sz w:val="17"/>
              </w:rPr>
              <w:t>make bundle</w:t>
            </w:r>
          </w:p>
        </w:tc>
        <w:tc>
          <w:tcPr>
            <w:tcW w:type="dxa" w:w="4986"/>
          </w:tcPr>
          <w:p>
            <w:r>
              <w:rPr>
                <w:sz w:val="17"/>
              </w:rPr>
              <w:t xml:space="preserve">离线单文件 </w:t>
            </w:r>
            <w:r>
              <w:rPr>
                <w:rFonts w:ascii="Consolas" w:hAnsi="Consolas"/>
                <w:sz w:val="17"/>
              </w:rPr>
              <w:t>bess-eta-standalone.html</w:t>
            </w:r>
            <w:r>
              <w:rPr>
                <w:sz w:val="17"/>
              </w:rPr>
              <w:t>(2.73 MB,file:// 直开)</w:t>
            </w:r>
          </w:p>
        </w:tc>
      </w:tr>
    </w:tbl>
    <w:p>
      <w:r>
        <w:t>AI 相关环境变量:</w:t>
      </w:r>
      <w:r>
        <w:rPr>
          <w:rFonts w:ascii="Consolas" w:hAnsi="Consolas"/>
          <w:sz w:val="19"/>
        </w:rPr>
        <w:t>PSA_AI_ENABLED=1</w:t>
      </w:r>
      <w:r>
        <w:rPr/>
        <w:t xml:space="preserve"> 开启草案端点;</w:t>
      </w:r>
      <w:r>
        <w:rPr>
          <w:rFonts w:ascii="Consolas" w:hAnsi="Consolas"/>
          <w:sz w:val="19"/>
        </w:rPr>
        <w:t>ANTHROPIC_API_KEY</w:t>
      </w:r>
      <w:r>
        <w:rPr/>
        <w:br/>
        <w:t xml:space="preserve">  (或 </w:t>
      </w:r>
      <w:r>
        <w:rPr>
          <w:rFonts w:ascii="Consolas" w:hAnsi="Consolas"/>
          <w:sz w:val="19"/>
        </w:rPr>
        <w:t>PSA_LLM_API_KEY</w:t>
      </w:r>
      <w:r>
        <w:rPr/>
        <w:t>)供真实供应商;</w:t>
      </w:r>
      <w:r>
        <w:rPr>
          <w:rFonts w:ascii="Consolas" w:hAnsi="Consolas"/>
          <w:sz w:val="19"/>
        </w:rPr>
        <w:t>PSA_LLM_PROVIDER=fake</w:t>
      </w:r>
      <w:r>
        <w:rPr/>
        <w:t xml:space="preserve"> 为离线确定性客户端</w:t>
        <w:br/>
        <w:t xml:space="preserve">  (测试/演示)。金例评测:</w:t>
      </w:r>
      <w:r>
        <w:rPr>
          <w:rFonts w:ascii="Consolas" w:hAnsi="Consolas"/>
          <w:sz w:val="19"/>
        </w:rPr>
        <w:t>python -m backend.ai_eval submit|status &lt;id&gt;|fetch &lt;id&gt;</w:t>
      </w:r>
      <w:r>
        <w:rPr/>
        <w:t>。</w:t>
      </w:r>
    </w:p>
    <w:p>
      <w:pPr>
        <w:pStyle w:val="Heading2"/>
      </w:pPr>
      <w:r>
        <w:t>5.2 界面导览(探索者壳 + 多项目)</w:t>
      </w:r>
    </w:p>
    <w:p>
      <w:r>
        <w:t>2026-07 起工作台采用</w:t>
      </w:r>
      <w:r>
        <w:rPr>
          <w:b/>
        </w:rPr>
        <w:t>探索者壳</w:t>
      </w:r>
      <w:r>
        <w:rPr/>
        <w:t>:顶部菜单栏(文件/编辑/视图/分析/数据/评审/帮助),</w:t>
        <w:br/>
        <w:t xml:space="preserve">  左侧项目树(多项目并开、存档库、全局页),底部状态栏(活动项目 · 项目 UUID⁸ · 版本哈希⁸ · 打开数)。</w:t>
        <w:br/>
        <w:t xml:space="preserve">  </w:t>
      </w:r>
      <w:r>
        <w:rPr>
          <w:b/>
        </w:rPr>
        <w:t>多项目隔离是结构性的</w:t>
      </w:r>
      <w:r>
        <w:rPr/>
        <w:t>:非活动项目整槽停放(撤销历史/派生缓存/身份/FMEA 随槽迁移),</w:t>
        <w:br/>
        <w:t xml:space="preserve">  切换绝不串染;点击已打开项目 = 仅聚焦,绝不重载(保护未保存编辑)。⌘K / Ctrl+K 命令板可达全部动作。</w:t>
      </w:r>
    </w:p>
    <w:p>
      <w:pPr>
        <w:spacing w:before="160"/>
      </w:pPr>
      <w:r>
        <w:rPr>
          <w:b/>
          <w:color w:val="66788C"/>
          <w:sz w:val="18"/>
        </w:rPr>
        <w:t>表 6</w:t>
      </w:r>
      <w:r>
        <w:rPr>
          <w:color w:val="66788C"/>
          <w:sz w:val="18"/>
        </w:rPr>
        <w:t xml:space="preserve"> · 页面与职责(项目树导航;前五项属单项目,组合总览跨项目)</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E8EDF5"/>
          </w:tcPr>
          <w:p>
            <w:r>
              <w:rPr>
                <w:b/>
                <w:sz w:val="17"/>
              </w:rPr>
              <w:t>页面</w:t>
            </w:r>
          </w:p>
        </w:tc>
        <w:tc>
          <w:tcPr>
            <w:tcW w:type="dxa" w:w="3324"/>
            <w:shd w:val="clear" w:fill="E8EDF5"/>
          </w:tcPr>
          <w:p>
            <w:r>
              <w:rPr>
                <w:b/>
                <w:sz w:val="17"/>
              </w:rPr>
              <w:t>内容</w:t>
            </w:r>
          </w:p>
        </w:tc>
        <w:tc>
          <w:tcPr>
            <w:tcW w:type="dxa" w:w="3324"/>
            <w:shd w:val="clear" w:fill="E8EDF5"/>
          </w:tcPr>
          <w:p>
            <w:r>
              <w:rPr>
                <w:b/>
                <w:sz w:val="17"/>
              </w:rPr>
              <w:t>关键动作</w:t>
            </w:r>
          </w:p>
        </w:tc>
      </w:tr>
      <w:tr>
        <w:tc>
          <w:tcPr>
            <w:tcW w:type="dxa" w:w="3324"/>
          </w:tcPr>
          <w:p>
            <w:r>
              <w:rPr>
                <w:b/>
                <w:sz w:val="17"/>
              </w:rPr>
              <w:t>项目总览</w:t>
            </w:r>
          </w:p>
        </w:tc>
        <w:tc>
          <w:tcPr>
            <w:tcW w:type="dxa" w:w="3324"/>
          </w:tcPr>
          <w:p>
            <w:r>
              <w:rPr>
                <w:sz w:val="17"/>
              </w:rPr>
              <w:t>驾驶舱:KPI 带、ETA 卡片网格、汇总风险矩阵、版本/案例活动流</w:t>
            </w:r>
          </w:p>
        </w:tc>
        <w:tc>
          <w:tcPr>
            <w:tcW w:type="dxa" w:w="3324"/>
          </w:tcPr>
          <w:p>
            <w:r>
              <w:rPr>
                <w:sz w:val="17"/>
              </w:rPr>
              <w:t>进入画布 · 保存项目 · 打开场景/存档</w:t>
            </w:r>
          </w:p>
        </w:tc>
      </w:tr>
      <w:tr>
        <w:tc>
          <w:tcPr>
            <w:tcW w:type="dxa" w:w="3324"/>
          </w:tcPr>
          <w:p>
            <w:r>
              <w:rPr>
                <w:b/>
                <w:sz w:val="17"/>
              </w:rPr>
              <w:t>事件树(ETA)</w:t>
            </w:r>
          </w:p>
        </w:tc>
        <w:tc>
          <w:tcPr>
            <w:tcW w:type="dxa" w:w="3324"/>
          </w:tcPr>
          <w:p>
            <w:r>
              <w:rPr>
                <w:sz w:val="17"/>
              </w:rPr>
              <w:t>SVG 直角级联画布,</w:t>
            </w:r>
            <w:r>
              <w:rPr>
                <w:b/>
                <w:sz w:val="17"/>
              </w:rPr>
              <w:t>滚轮缩放 0.4–2.5×(指针锚定)/拖拽平移/一键适配</w:t>
            </w:r>
            <w:r>
              <w:rPr>
                <w:sz w:val="17"/>
              </w:rPr>
              <w:t>;检视器(属性/量化/重要度);底部序列坞默认折叠一瞥,展开为序列/风险矩阵/参与清单三面板</w:t>
            </w:r>
          </w:p>
        </w:tc>
        <w:tc>
          <w:tcPr>
            <w:tcW w:type="dxa" w:w="3324"/>
          </w:tcPr>
          <w:p>
            <w:r>
              <w:rPr>
                <w:sz w:val="17"/>
              </w:rPr>
              <w:t>添加屏障 · 挂载 FTA · 初因手动/频率树双通道 · 引擎精确量化 · 现场贝叶斯 · AI 建模助手 · 报告导出</w:t>
            </w:r>
          </w:p>
        </w:tc>
      </w:tr>
      <w:tr>
        <w:tc>
          <w:tcPr>
            <w:tcW w:type="dxa" w:w="3324"/>
          </w:tcPr>
          <w:p>
            <w:r>
              <w:rPr>
                <w:b/>
                <w:sz w:val="17"/>
              </w:rPr>
              <w:t>故障树(FTA)</w:t>
            </w:r>
          </w:p>
        </w:tc>
        <w:tc>
          <w:tcPr>
            <w:tcW w:type="dxa" w:w="3324"/>
          </w:tcPr>
          <w:p>
            <w:r>
              <w:rPr>
                <w:sz w:val="17"/>
              </w:rPr>
              <w:t>reactflow 画布 + 缩放工具组 + 小地图;割集/重要度结果坞(折叠一瞥⇄展开);「⚙ 分析设置」弹出(house 覆盖、后处理规则)</w:t>
            </w:r>
          </w:p>
        </w:tc>
        <w:tc>
          <w:tcPr>
            <w:tcW w:type="dxa" w:w="3324"/>
          </w:tcPr>
          <w:p>
            <w:r>
              <w:rPr>
                <w:sz w:val="17"/>
              </w:rPr>
              <w:t>门/事件增删连线 · 从库加基本事件 · MEF 导入 · 频率模式(初因树)· 量化</w:t>
            </w:r>
          </w:p>
        </w:tc>
      </w:tr>
      <w:tr>
        <w:tc>
          <w:tcPr>
            <w:tcW w:type="dxa" w:w="3324"/>
          </w:tcPr>
          <w:p>
            <w:r>
              <w:rPr>
                <w:b/>
                <w:sz w:val="17"/>
              </w:rPr>
              <w:t>参数库 / CCF</w:t>
            </w:r>
          </w:p>
        </w:tc>
        <w:tc>
          <w:tcPr>
            <w:tcW w:type="dxa" w:w="3324"/>
          </w:tcPr>
          <w:p>
            <w:r>
              <w:rPr>
                <w:sz w:val="17"/>
              </w:rPr>
              <w:t>共享参数表(ag-grid)+ CCF 组管理(β/MGL/α/φ + 错峰)</w:t>
            </w:r>
          </w:p>
        </w:tc>
        <w:tc>
          <w:tcPr>
            <w:tcW w:type="dxa" w:w="3324"/>
          </w:tcPr>
          <w:p>
            <w:r>
              <w:rPr>
                <w:sz w:val="17"/>
              </w:rPr>
              <w:t>改值 · 建组 · 选模型填因子</w:t>
            </w:r>
          </w:p>
        </w:tc>
      </w:tr>
      <w:tr>
        <w:tc>
          <w:tcPr>
            <w:tcW w:type="dxa" w:w="3324"/>
          </w:tcPr>
          <w:p>
            <w:r>
              <w:rPr>
                <w:b/>
                <w:sz w:val="17"/>
              </w:rPr>
              <w:t>参考库</w:t>
            </w:r>
          </w:p>
        </w:tc>
        <w:tc>
          <w:tcPr>
            <w:tcW w:type="dxa" w:w="3324"/>
          </w:tcPr>
          <w:p>
            <w:r>
              <w:rPr>
                <w:sz w:val="17"/>
              </w:rPr>
              <w:t>100 条分级数据,A–D 彩色分级、按级筛选、覆盖层增删改、导入导出</w:t>
            </w:r>
          </w:p>
        </w:tc>
        <w:tc>
          <w:tcPr>
            <w:tcW w:type="dxa" w:w="3324"/>
          </w:tcPr>
          <w:p>
            <w:r>
              <w:rPr>
                <w:sz w:val="17"/>
              </w:rPr>
              <w:t>检索 · 引用到模型 · 现场贝叶斯更新</w:t>
            </w:r>
          </w:p>
        </w:tc>
      </w:tr>
      <w:tr>
        <w:tc>
          <w:tcPr>
            <w:tcW w:type="dxa" w:w="3324"/>
          </w:tcPr>
          <w:p>
            <w:r>
              <w:rPr>
                <w:b/>
                <w:sz w:val="17"/>
              </w:rPr>
              <w:t>后果定义</w:t>
            </w:r>
          </w:p>
        </w:tc>
        <w:tc>
          <w:tcPr>
            <w:tcW w:type="dxa" w:w="3324"/>
          </w:tcPr>
          <w:p>
            <w:r>
              <w:rPr>
                <w:sz w:val="17"/>
              </w:rPr>
              <w:t>C1–C5 定义编辑(文字内涵 + 等级映射)</w:t>
            </w:r>
          </w:p>
        </w:tc>
        <w:tc>
          <w:tcPr>
            <w:tcW w:type="dxa" w:w="3324"/>
          </w:tcPr>
          <w:p>
            <w:r>
              <w:rPr>
                <w:sz w:val="17"/>
              </w:rPr>
              <w:t>逐级改写</w:t>
            </w:r>
          </w:p>
        </w:tc>
      </w:tr>
      <w:tr>
        <w:tc>
          <w:tcPr>
            <w:tcW w:type="dxa" w:w="3324"/>
          </w:tcPr>
          <w:p>
            <w:r>
              <w:rPr>
                <w:b/>
                <w:sz w:val="17"/>
              </w:rPr>
              <w:t>FMEA</w:t>
            </w:r>
          </w:p>
        </w:tc>
        <w:tc>
          <w:tcPr>
            <w:tcW w:type="dxa" w:w="3324"/>
          </w:tcPr>
          <w:p>
            <w:r>
              <w:rPr>
                <w:sz w:val="17"/>
              </w:rPr>
              <w:t>RPN 工作台,失效模式↔屏障映射;内容随项目槽走</w:t>
            </w:r>
          </w:p>
        </w:tc>
        <w:tc>
          <w:tcPr>
            <w:tcW w:type="dxa" w:w="3324"/>
          </w:tcPr>
          <w:p>
            <w:r>
              <w:rPr>
                <w:sz w:val="17"/>
              </w:rPr>
              <w:t>行编辑 · 映射配置</w:t>
            </w:r>
          </w:p>
        </w:tc>
      </w:tr>
      <w:tr>
        <w:tc>
          <w:tcPr>
            <w:tcW w:type="dxa" w:w="3324"/>
          </w:tcPr>
          <w:p>
            <w:r>
              <w:rPr>
                <w:b/>
                <w:sz w:val="17"/>
              </w:rPr>
              <w:t>报告与证据链</w:t>
            </w:r>
          </w:p>
        </w:tc>
        <w:tc>
          <w:tcPr>
            <w:tcW w:type="dxa" w:w="3324"/>
          </w:tcPr>
          <w:p>
            <w:r>
              <w:rPr>
                <w:sz w:val="17"/>
              </w:rPr>
              <w:t>导出即钉扎;分析案例台账、版本台账(评审状态徽章:草稿/送审中/已签发/已退回)、签发/退回操作、版本对比</w:t>
            </w:r>
          </w:p>
        </w:tc>
        <w:tc>
          <w:tcPr>
            <w:tcW w:type="dxa" w:w="3324"/>
          </w:tcPr>
          <w:p>
            <w:r>
              <w:rPr>
                <w:sz w:val="17"/>
              </w:rPr>
              <w:t>Word/PDF/CSV 导出 · 送审 · 签发(复核口令)· 版本 diff</w:t>
            </w:r>
          </w:p>
        </w:tc>
      </w:tr>
      <w:tr>
        <w:tc>
          <w:tcPr>
            <w:tcW w:type="dxa" w:w="3324"/>
          </w:tcPr>
          <w:p>
            <w:r>
              <w:rPr>
                <w:b/>
                <w:sz w:val="17"/>
              </w:rPr>
              <w:t>多项目组合总览</w:t>
            </w:r>
          </w:p>
        </w:tc>
        <w:tc>
          <w:tcPr>
            <w:tcW w:type="dxa" w:w="3324"/>
          </w:tcPr>
          <w:p>
            <w:r>
              <w:rPr>
                <w:sz w:val="17"/>
              </w:rPr>
              <w:t>跨项目风险画像表 + C3+C4+C5 对数条形对比 + 组合风险矩阵(项目标记落格)+ 评审队列;数字只取已钉扎案例(§5.4)</w:t>
            </w:r>
          </w:p>
        </w:tc>
        <w:tc>
          <w:tcPr>
            <w:tcW w:type="dxa" w:w="3324"/>
          </w:tcPr>
          <w:p>
            <w:r>
              <w:rPr>
                <w:sz w:val="17"/>
              </w:rPr>
              <w:t>点行打开项目 · 队列直达报告页</w:t>
            </w:r>
          </w:p>
        </w:tc>
      </w:tr>
      <w:tr>
        <w:tc>
          <w:tcPr>
            <w:tcW w:type="dxa" w:w="3324"/>
          </w:tcPr>
          <w:p>
            <w:r>
              <w:rPr>
                <w:b/>
                <w:sz w:val="17"/>
              </w:rPr>
              <w:t>登录墙</w:t>
            </w:r>
            <w:r>
              <w:rPr>
                <w:sz w:val="17"/>
              </w:rPr>
              <w:t>(local 模式)</w:t>
            </w:r>
          </w:p>
        </w:tc>
        <w:tc>
          <w:tcPr>
            <w:tcW w:type="dxa" w:w="3324"/>
          </w:tcPr>
          <w:p>
            <w:r>
              <w:rPr>
                <w:sz w:val="17"/>
              </w:rPr>
              <w:t>认证门:未登录时工作台整体不挂载;角色徽章入菜单栏</w:t>
            </w:r>
          </w:p>
        </w:tc>
        <w:tc>
          <w:tcPr>
            <w:tcW w:type="dxa" w:w="3324"/>
          </w:tcPr>
          <w:p>
            <w:r>
              <w:rPr>
                <w:sz w:val="17"/>
              </w:rPr>
              <w:t>登录/登出 · 账户管理(admin)</w:t>
            </w:r>
          </w:p>
        </w:tc>
      </w:tr>
    </w:tbl>
    <w:p>
      <w:pPr>
        <w:pStyle w:val="Heading2"/>
      </w:pPr>
      <w:r>
        <w:t>5.3 典型工作流</w:t>
      </w:r>
    </w:p>
    <w:p>
      <w:pPr>
        <w:pStyle w:val="ListNumber"/>
      </w:pPr>
      <w:r>
        <w:rPr>
          <w:b/>
        </w:rPr>
        <w:t>建模</w:t>
      </w:r>
      <w:r>
        <w:rPr/>
        <w:t>:总览 → 打开场景(5 个内置 TR 场景)或「从模板…」(7 个溯源模板,建页横幅</w:t>
        <w:br/>
        <w:t xml:space="preserve">      提醒替换取值)或 AI 建模助手(自然语言目标 → 幽灵草案 → 逐元素接受);</w:t>
      </w:r>
    </w:p>
    <w:p>
      <w:pPr>
        <w:pStyle w:val="ListNumber"/>
      </w:pPr>
      <w:r>
        <w:rPr>
          <w:b/>
        </w:rPr>
        <w:t>细化</w:t>
      </w:r>
      <w:r>
        <w:rPr/>
        <w:t>:屏障挂载故障树(共享事件自动精确)、参数库建 CCF 组、检修工况入 house/边界条件集、</w:t>
        <w:br/>
        <w:t xml:space="preserve">      现场数据走贝叶斯更新(置信升 A);</w:t>
      </w:r>
    </w:p>
    <w:p>
      <w:pPr>
        <w:pStyle w:val="ListNumber"/>
      </w:pPr>
      <w:r>
        <w:rPr>
          <w:b/>
        </w:rPr>
        <w:t>量化</w:t>
      </w:r>
      <w:r>
        <w:rPr/>
        <w:t>:画布积式实时预览 → 「引擎精确量化」→ 重要度 FV/RAW → 不确定性分位带;</w:t>
        <w:br/>
        <w:t xml:space="preserve">      FTA 页可加后处理规则(精确值不受影响,分列展示);</w:t>
      </w:r>
    </w:p>
    <w:p>
      <w:pPr>
        <w:pStyle w:val="ListNumber"/>
      </w:pPr>
      <w:r>
        <w:rPr>
          <w:b/>
        </w:rPr>
        <w:t>交付</w:t>
      </w:r>
      <w:r>
        <w:rPr/>
        <w:t>:保存项目(即内容寻址版本)→ 报告页导出 Word/PDF/CSV —— 页脚自动携带</w:t>
        <w:br/>
        <w:t xml:space="preserve">      「分析案例 # · 版本哈希 · 引擎版本」,台账即时可回查;版本对比用于评审答复"这版改了什么";</w:t>
      </w:r>
    </w:p>
    <w:p>
      <w:pPr>
        <w:pStyle w:val="ListNumber"/>
      </w:pPr>
      <w:r>
        <w:rPr>
          <w:b/>
        </w:rPr>
        <w:t>评审签发</w:t>
      </w:r>
      <w:r>
        <w:rPr/>
        <w:t>(§4.14):报告页版本台账「送审」→ 评审人核对后「签发」(复核口令,</w:t>
        <w:br/>
        <w:t xml:space="preserve">      终态)或「退回」(必填理由);签发版本再导出 = 页脚落签发行,任何后续编辑自动回到工作稿;</w:t>
      </w:r>
    </w:p>
    <w:p>
      <w:pPr>
        <w:pStyle w:val="ListNumber"/>
      </w:pPr>
      <w:r>
        <w:rPr>
          <w:b/>
        </w:rPr>
        <w:t>组合视角</w:t>
      </w:r>
      <w:r>
        <w:rPr/>
        <w:t>:多项目并开(项目树),「多项目组合总览」横向比较各项目已钉扎的</w:t>
        <w:br/>
        <w:t xml:space="preserve">      风险数字与评审进度(§5.4)。</w:t>
      </w:r>
    </w:p>
    <w:p>
      <w:pPr>
        <w:pStyle w:val="Heading2"/>
      </w:pPr>
      <w:r>
        <w:t>5.4 多项目与组合总览</w:t>
      </w:r>
    </w:p>
    <w:p>
      <w:r>
        <w:t>项目树支持同时打开多个项目:非活动项目</w:t>
      </w:r>
      <w:r>
        <w:rPr>
          <w:b/>
        </w:rPr>
        <w:t>整槽停放</w:t>
      </w:r>
      <w:r>
        <w:rPr/>
        <w:t>(文档 + 撤销历史 + 派生缓存 +</w:t>
        <w:br/>
        <w:t xml:space="preserve">  身份 + FMEA),任一时刻每个项目只存在于一处——跨项目串染按溯源违规级缺陷对待,由结构 + 13 条</w:t>
        <w:br/>
        <w:t xml:space="preserve">  锁测 + 独立对抗审查三重保障(异步保存期间切换项目,身份写回仍精确落在发起槽)。</w:t>
      </w:r>
    </w:p>
    <w:p>
      <w:r>
        <w:t>「多项目组合总览」的</w:t>
      </w:r>
      <w:r>
        <w:rPr>
          <w:b/>
        </w:rPr>
        <w:t>证据链纪律</w:t>
      </w:r>
      <w:r>
        <w:rPr/>
        <w:t>:</w:t>
      </w:r>
    </w:p>
    <w:p>
      <w:pPr>
        <w:pStyle w:val="ListBullet"/>
      </w:pPr>
      <w:r>
        <w:t>风险数字</w:t>
      </w:r>
      <w:r>
        <w:rPr>
          <w:b/>
        </w:rPr>
        <w:t>只取各项目最近一次已钉扎分析案例</w:t>
      </w:r>
      <w:r>
        <w:rPr/>
        <w:t>(案例 # · 版本哈希 · 场景随行显示),</w:t>
        <w:br/>
        <w:t xml:space="preserve">      绝不现算;无案例项目显示「未量化」,不补零冒充;</w:t>
      </w:r>
    </w:p>
    <w:p>
      <w:pPr>
        <w:pStyle w:val="ListBullet"/>
      </w:pPr>
      <w:r>
        <w:t>案例钉在旧版本上时,行内亮琥珀徽章「</w:t>
      </w:r>
      <w:r>
        <w:rPr/>
        <w:t>数字非当前版本</w:t>
      </w:r>
      <w:r>
        <w:rPr/>
        <w:t>」——不要求读者肉眼比对哈希;</w:t>
      </w:r>
    </w:p>
    <w:p>
      <w:pPr>
        <w:pStyle w:val="ListBullet"/>
      </w:pPr>
      <w:r>
        <w:t>累计列名即公式「C3+C4+C5 /yr」(后果类别口径;与单项目页"≥III 累计"=C4+C5 的危险等级口径</w:t>
        <w:br/>
        <w:t xml:space="preserve">      刻意区分),口径脚注为可见文字,截图不丢;</w:t>
      </w:r>
    </w:p>
    <w:p>
      <w:pPr>
        <w:pStyle w:val="ListBullet"/>
      </w:pPr>
      <w:r>
        <w:t xml:space="preserve">矩阵落格与最劣格由后端 </w:t>
      </w:r>
      <w:r>
        <w:rPr>
          <w:rFonts w:ascii="Consolas" w:hAnsi="Consolas"/>
          <w:sz w:val="19"/>
        </w:rPr>
        <w:t>risk_placement</w:t>
      </w:r>
      <w:r>
        <w:rPr/>
        <w:t xml:space="preserve"> 给定,阈值与单项目报告矩阵同源</w:t>
        <w:br/>
        <w:t xml:space="preserve">      (前后端各有一张 25 格金表互锁防漂移);对数条形显式标注「对数刻度,以数值为准」;</w:t>
      </w:r>
    </w:p>
    <w:p>
      <w:pPr>
        <w:pStyle w:val="ListBullet"/>
      </w:pPr>
      <w:r>
        <w:t>评审队列按</w:t>
      </w:r>
      <w:r>
        <w:rPr>
          <w:b/>
        </w:rPr>
        <w:t>挂起评审行</w:t>
      </w:r>
      <w:r>
        <w:rPr/>
        <w:t>过滤(送审后又存新版的项目不会从队列消失,</w:t>
        <w:br/>
        <w:t xml:space="preserve">      标「已有更新版本」),点「前往报告页」直达该项目报告页。</w:t>
      </w:r>
    </w:p>
    <w:tbl>
      <w:tblPr>
        <w:tblStyle w:val="TableGrid"/>
        <w:tblW w:type="auto" w:w="0"/>
        <w:tblLook w:firstColumn="1" w:firstRow="1" w:lastColumn="0" w:lastRow="0" w:noHBand="0" w:noVBand="1" w:val="04A0"/>
      </w:tblPr>
      <w:tblGrid>
        <w:gridCol w:w="9972"/>
      </w:tblGrid>
      <w:tr>
        <w:tc>
          <w:tcPr>
            <w:tcW w:type="dxa" w:w="9972"/>
            <w:shd w:val="clear" w:fill="FCF3E3"/>
          </w:tcPr>
          <w:p>
            <w:r>
              <w:rPr>
                <w:b/>
                <w:sz w:val="19"/>
              </w:rPr>
              <w:t>口径边界。</w:t>
            </w:r>
            <w:r>
              <w:rPr>
                <w:sz w:val="19"/>
              </w:rPr>
              <w:t>每个案例覆盖导出/运行当时的</w:t>
            </w:r>
            <w:r>
              <w:rPr>
                <w:b/>
                <w:sz w:val="19"/>
              </w:rPr>
              <w:t>单棵事件树(场景)</w:t>
            </w:r>
            <w:r>
              <w:rPr>
                <w:sz w:val="19"/>
              </w:rPr>
              <w:t>,</w:t>
              <w:br/>
              <w:t xml:space="preserve">  组合总览据此比较的是"各项目最近钉扎场景",非项目全部 ETA 之和——页脚已披露;</w:t>
              <w:br/>
              <w:t xml:space="preserve">  按勾选集合并导出的"聚合范围钉扎"列于路线图(§11)。</w:t>
            </w:r>
          </w:p>
        </w:tc>
      </w:tr>
    </w:tbl>
    <w:p>
      <w:pPr>
        <w:spacing w:after="0"/>
      </w:pPr>
    </w:p>
    <w:p>
      <w:pPr>
        <w:pStyle w:val="Heading2"/>
      </w:pPr>
      <w:r>
        <w:t>5.5 AI 建模助手使用指南</w:t>
      </w:r>
    </w:p>
    <w:p>
      <w:r>
        <w:rPr>
          <w:b/>
        </w:rPr>
        <w:t>前置</w:t>
      </w:r>
      <w:r>
        <w:rPr/>
        <w:t xml:space="preserve">:后端环境变量 </w:t>
      </w:r>
      <w:r>
        <w:rPr>
          <w:rFonts w:ascii="Consolas" w:hAnsi="Consolas"/>
          <w:sz w:val="19"/>
        </w:rPr>
        <w:t>PSA_AI_ENABLED=1</w:t>
      </w:r>
      <w:r>
        <w:rPr/>
        <w:t xml:space="preserve"> + </w:t>
      </w:r>
      <w:r>
        <w:rPr>
          <w:rFonts w:ascii="Consolas" w:hAnsi="Consolas"/>
          <w:sz w:val="19"/>
        </w:rPr>
        <w:t>ANTHROPIC_API_KEY</w:t>
      </w:r>
      <w:r>
        <w:rPr/>
        <w:br/>
        <w:t xml:space="preserve">  (离线演示可用 </w:t>
      </w:r>
      <w:r>
        <w:rPr>
          <w:rFonts w:ascii="Consolas" w:hAnsi="Consolas"/>
          <w:sz w:val="19"/>
        </w:rPr>
        <w:t>PSA_LLM_PROVIDER=fake</w:t>
      </w:r>
      <w:r>
        <w:rPr/>
        <w:t>);未启用时按钮给出明确提示而非静默失败。</w:t>
        <w:br/>
        <w:t xml:space="preserve">  入口:事件树页工具条「AI 建模助手」。</w:t>
      </w:r>
    </w:p>
    <w:p>
      <w:r>
        <w:rPr>
          <w:b/>
        </w:rPr>
        <w:t>你需要提供的输入</w:t>
      </w:r>
      <w:r>
        <w:rPr/>
        <w:t>(与 §8.4 的 SOTA 输入需求对照,本工具走"轻输入 + 强校验"路线):</w:t>
      </w:r>
    </w:p>
    <w:p>
      <w:pPr>
        <w:pStyle w:val="ListBullet"/>
      </w:pPr>
      <w:r>
        <w:rPr>
          <w:b/>
        </w:rPr>
        <w:t>一句话建模目标</w:t>
      </w:r>
      <w:r>
        <w:rPr/>
        <w:t>(自然语言,中文即可)——这是唯一必填项。</w:t>
        <w:br/>
        <w:t xml:space="preserve">      好目标 = 场景 + 关注点:「电池舱液冷泄漏导致外短,重点关注探测与灭火两道屏障」优于「帮我建个模型」;</w:t>
      </w:r>
    </w:p>
    <w:p>
      <w:pPr>
        <w:pStyle w:val="ListBullet"/>
      </w:pPr>
      <w:r>
        <w:rPr>
          <w:b/>
        </w:rPr>
        <w:t>模式</w:t>
      </w:r>
      <w:r>
        <w:rPr/>
        <w:t>四选一:</w:t>
      </w:r>
      <w:r>
        <w:rPr>
          <w:rFonts w:ascii="Consolas" w:hAnsi="Consolas"/>
          <w:sz w:val="19"/>
        </w:rPr>
        <w:t>new_eta</w:t>
      </w:r>
      <w:r>
        <w:rPr/>
        <w:t xml:space="preserve"> 新建事件树 / </w:t>
      </w:r>
      <w:r>
        <w:rPr>
          <w:rFonts w:ascii="Consolas" w:hAnsi="Consolas"/>
          <w:sz w:val="19"/>
        </w:rPr>
        <w:t>complete_eta</w:t>
      </w:r>
      <w:r>
        <w:rPr/>
        <w:br/>
        <w:t xml:space="preserve">      补全当前树 / </w:t>
      </w:r>
      <w:r>
        <w:rPr>
          <w:rFonts w:ascii="Consolas" w:hAnsi="Consolas"/>
          <w:sz w:val="19"/>
        </w:rPr>
        <w:t>fta_for_barrier</w:t>
      </w:r>
      <w:r>
        <w:rPr/>
        <w:t xml:space="preserve"> 为选定屏障生成故障树(需先选屏障)/</w:t>
        <w:br/>
        <w:t xml:space="preserve">      </w:t>
      </w:r>
      <w:r>
        <w:rPr>
          <w:rFonts w:ascii="Consolas" w:hAnsi="Consolas"/>
          <w:sz w:val="19"/>
        </w:rPr>
        <w:t>standalone_fta</w:t>
      </w:r>
      <w:r>
        <w:rPr/>
        <w:t xml:space="preserve"> 独立故障树;</w:t>
      </w:r>
    </w:p>
    <w:p>
      <w:pPr>
        <w:pStyle w:val="ListBullet"/>
      </w:pPr>
      <w:r>
        <w:t>其余上下文</w:t>
      </w:r>
      <w:r>
        <w:rPr>
          <w:b/>
        </w:rPr>
        <w:t>自动携带</w:t>
      </w:r>
      <w:r>
        <w:rPr/>
        <w:t>:当前项目载荷、活动 ETA、参考库压缩摘要——AI 检索</w:t>
        <w:br/>
        <w:t xml:space="preserve">      </w:t>
      </w:r>
      <w:r>
        <w:rPr>
          <w:rFonts w:ascii="Consolas" w:hAnsi="Consolas"/>
          <w:sz w:val="19"/>
        </w:rPr>
        <w:t>search_reference_library</w:t>
      </w:r>
      <w:r>
        <w:rPr/>
        <w:t xml:space="preserve"> 为数值找出处,不允许编造。</w:t>
      </w:r>
    </w:p>
    <w:p>
      <w:r>
        <w:rPr>
          <w:b/>
        </w:rPr>
        <w:t>生成 → 审阅 → 应用</w:t>
      </w:r>
      <w:r>
        <w:rPr/>
        <w:t>:草案先过确定性校验门(schema 严格校验 → 域 lint →</w:t>
        <w:br/>
        <w:t xml:space="preserve">  </w:t>
      </w:r>
      <w:r>
        <w:rPr>
          <w:b/>
        </w:rPr>
        <w:t>引擎试运行</w:t>
      </w:r>
      <w:r>
        <w:rPr/>
        <w:t>,不可量化的结构直接打回,≤3 轮自动修复);到达后以</w:t>
        <w:br/>
        <w:t xml:space="preserve">  </w:t>
      </w:r>
      <w:r>
        <w:rPr>
          <w:b/>
        </w:rPr>
        <w:t>幽灵差异</w:t>
      </w:r>
      <w:r>
        <w:rPr/>
        <w:t>叠加在画布上——逐元素勾选接受/拒绝(拒绝的屏障整链正确折叠),</w:t>
        <w:br/>
        <w:t xml:space="preserve">  「应用」才写入文档并落审计回执。三条铁律:数值必须带 </w:t>
      </w:r>
      <w:r>
        <w:rPr>
          <w:rFonts w:ascii="Consolas" w:hAnsi="Consolas"/>
          <w:sz w:val="19"/>
        </w:rPr>
        <w:t>library_ref</w:t>
      </w:r>
      <w:r>
        <w:rPr/>
        <w:t xml:space="preserve"> 或显式标注</w:t>
        <w:br/>
        <w:t xml:space="preserve">  </w:t>
      </w:r>
      <w:r>
        <w:rPr>
          <w:rFonts w:ascii="Consolas" w:hAnsi="Consolas"/>
          <w:sz w:val="19"/>
        </w:rPr>
        <w:t>ungrounded</w:t>
      </w:r>
      <w:r>
        <w:rPr/>
        <w:t>;AI 产物强制 D 级置信 +「AI 草案,待人工审核」溯源(自评 A/B = 校验错误);</w:t>
        <w:br/>
        <w:t xml:space="preserve">  草案永不直接落库,</w:t>
      </w:r>
      <w:r>
        <w:rPr>
          <w:b/>
        </w:rPr>
        <w:t>人是唯一提交者</w:t>
      </w:r>
      <w:r>
        <w:rPr/>
        <w:t>。切换项目会清空未应用草案(草案是项目上下文的产物)。</w:t>
      </w:r>
    </w:p>
    <w:tbl>
      <w:tblPr>
        <w:tblStyle w:val="TableGrid"/>
        <w:tblW w:type="auto" w:w="0"/>
        <w:tblLook w:firstColumn="1" w:firstRow="1" w:lastColumn="0" w:lastRow="0" w:noHBand="0" w:noVBand="1" w:val="04A0"/>
      </w:tblPr>
      <w:tblGrid>
        <w:gridCol w:w="9972"/>
      </w:tblGrid>
      <w:tr>
        <w:tc>
          <w:tcPr>
            <w:tcW w:type="dxa" w:w="9972"/>
            <w:shd w:val="clear" w:fill="E6F5F8"/>
          </w:tcPr>
          <w:p>
            <w:r>
              <w:rPr>
                <w:b/>
                <w:sz w:val="19"/>
              </w:rPr>
              <w:t>排错。</w:t>
            </w:r>
            <w:r>
              <w:rPr>
                <w:sz w:val="19"/>
              </w:rPr>
              <w:t>400「PSA_AI_ENABLED」= 未开开关;「校验未通过(N 轮)」= 结构反复</w:t>
              <w:br/>
              <w:t xml:space="preserve">  不可量化,换更具体的目标重试;生成很慢 = 正常(检索 + 试运行两道门);金例评测</w:t>
              <w:br/>
              <w:t xml:space="preserve">  </w:t>
            </w:r>
            <w:r>
              <w:rPr>
                <w:rFonts w:ascii="Consolas" w:hAnsi="Consolas"/>
                <w:sz w:val="19"/>
              </w:rPr>
              <w:t>python -m backend.ai_eval submit</w:t>
            </w:r>
            <w:r>
              <w:rPr>
                <w:sz w:val="19"/>
              </w:rPr>
              <w:t xml:space="preserve"> 用于换模型/提示词前的回归把关。</w:t>
            </w:r>
          </w:p>
        </w:tc>
      </w:tr>
    </w:tbl>
    <w:p>
      <w:pPr>
        <w:spacing w:after="0"/>
      </w:pPr>
    </w:p>
    <w:p>
      <w:pPr>
        <w:pStyle w:val="Heading2"/>
      </w:pPr>
      <w:r>
        <w:t>5.6 REST API 参考</w:t>
      </w:r>
    </w:p>
    <w:p>
      <w:pPr>
        <w:spacing w:before="160"/>
      </w:pPr>
      <w:r>
        <w:rPr>
          <w:b/>
          <w:color w:val="66788C"/>
          <w:sz w:val="18"/>
        </w:rPr>
        <w:t>表 7</w:t>
      </w:r>
      <w:r>
        <w:rPr>
          <w:color w:val="66788C"/>
          <w:sz w:val="18"/>
        </w:rPr>
        <w:t xml:space="preserve"> · 主要端点(全部 JSON;</w:t>
      </w:r>
      <w:r>
        <w:rPr>
          <w:rFonts w:ascii="Consolas" w:hAnsi="Consolas"/>
          <w:color w:val="66788C"/>
          <w:sz w:val="18"/>
        </w:rPr>
        <w:t>charset=utf-8</w:t>
      </w:r>
      <w:r>
        <w:rPr>
          <w:color w:val="66788C"/>
          <w:sz w:val="18"/>
        </w:rPr>
        <w:t>;</w:t>
      </w:r>
      <w:r>
        <w:rPr>
          <w:rFonts w:ascii="Consolas" w:hAnsi="Consolas"/>
          <w:color w:val="66788C"/>
          <w:sz w:val="18"/>
        </w:rPr>
        <w:t>PSA_AUTH=local</w:t>
      </w:r>
      <w:r>
        <w:rPr>
          <w:color w:val="66788C"/>
          <w:sz w:val="18"/>
        </w:rPr>
        <w:t xml:space="preserve"> 时分析/评审/管理端点受三角色守卫)</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E8EDF5"/>
          </w:tcPr>
          <w:p>
            <w:r>
              <w:rPr>
                <w:b/>
                <w:sz w:val="17"/>
              </w:rPr>
              <w:t>端点</w:t>
            </w:r>
          </w:p>
        </w:tc>
        <w:tc>
          <w:tcPr>
            <w:tcW w:type="dxa" w:w="3324"/>
            <w:shd w:val="clear" w:fill="E8EDF5"/>
          </w:tcPr>
          <w:p>
            <w:r>
              <w:rPr>
                <w:b/>
                <w:sz w:val="17"/>
              </w:rPr>
              <w:t>方法</w:t>
            </w:r>
          </w:p>
        </w:tc>
        <w:tc>
          <w:tcPr>
            <w:tcW w:type="dxa" w:w="3324"/>
            <w:shd w:val="clear" w:fill="E8EDF5"/>
          </w:tcPr>
          <w:p>
            <w:r>
              <w:rPr>
                <w:b/>
                <w:sz w:val="17"/>
              </w:rPr>
              <w:t>作用与关键字段</w:t>
            </w:r>
          </w:p>
        </w:tc>
      </w:tr>
      <w:tr>
        <w:tc>
          <w:tcPr>
            <w:tcW w:type="dxa" w:w="3324"/>
          </w:tcPr>
          <w:p>
            <w:r>
              <w:rPr>
                <w:rFonts w:ascii="Consolas" w:hAnsi="Consolas"/>
                <w:sz w:val="17"/>
              </w:rPr>
              <w:t>/api/quantify</w:t>
            </w:r>
          </w:p>
        </w:tc>
        <w:tc>
          <w:tcPr>
            <w:tcW w:type="dxa" w:w="3324"/>
          </w:tcPr>
          <w:p>
            <w:r>
              <w:rPr>
                <w:sz w:val="17"/>
              </w:rPr>
              <w:t>POST</w:t>
            </w:r>
          </w:p>
        </w:tc>
        <w:tc>
          <w:tcPr>
            <w:tcW w:type="dxa" w:w="3324"/>
          </w:tcPr>
          <w:p>
            <w:r>
              <w:rPr>
                <w:sz w:val="17"/>
              </w:rPr>
              <w:t xml:space="preserve">故障树量化:model, fault_tree, method(exact/rea/mcub), cutoff, limit_order, </w:t>
            </w:r>
            <w:r>
              <w:rPr>
                <w:b/>
                <w:sz w:val="17"/>
              </w:rPr>
              <w:t>house_states, boundary_condition_set, post_rules</w:t>
            </w:r>
            <w:r>
              <w:rPr>
                <w:sz w:val="17"/>
              </w:rPr>
              <w:t xml:space="preserve"> → probability(精确)+ cutsets + importance + post(可选)</w:t>
            </w:r>
          </w:p>
        </w:tc>
      </w:tr>
      <w:tr>
        <w:tc>
          <w:tcPr>
            <w:tcW w:type="dxa" w:w="3324"/>
          </w:tcPr>
          <w:p>
            <w:r>
              <w:rPr>
                <w:rFonts w:ascii="Consolas" w:hAnsi="Consolas"/>
                <w:sz w:val="17"/>
              </w:rPr>
              <w:t>/api/event-tree/quantify</w:t>
            </w:r>
          </w:p>
        </w:tc>
        <w:tc>
          <w:tcPr>
            <w:tcW w:type="dxa" w:w="3324"/>
          </w:tcPr>
          <w:p>
            <w:r>
              <w:rPr>
                <w:sz w:val="17"/>
              </w:rPr>
              <w:t>POST</w:t>
            </w:r>
          </w:p>
        </w:tc>
        <w:tc>
          <w:tcPr>
            <w:tcW w:type="dxa" w:w="3324"/>
          </w:tcPr>
          <w:p>
            <w:r>
              <w:rPr>
                <w:sz w:val="17"/>
              </w:rPr>
              <w:t xml:space="preserve">ETA 精确序列/后果频率;接受 </w:t>
            </w:r>
            <w:r>
              <w:rPr>
                <w:b/>
                <w:sz w:val="17"/>
              </w:rPr>
              <w:t>ccf_groups、house_states、boundary_condition_sets</w:t>
            </w:r>
          </w:p>
        </w:tc>
      </w:tr>
      <w:tr>
        <w:tc>
          <w:tcPr>
            <w:tcW w:type="dxa" w:w="3324"/>
          </w:tcPr>
          <w:p>
            <w:r>
              <w:rPr>
                <w:rFonts w:ascii="Consolas" w:hAnsi="Consolas"/>
                <w:sz w:val="17"/>
              </w:rPr>
              <w:t>/api/event-tree/uncertainty</w:t>
            </w:r>
          </w:p>
        </w:tc>
        <w:tc>
          <w:tcPr>
            <w:tcW w:type="dxa" w:w="3324"/>
          </w:tcPr>
          <w:p>
            <w:r>
              <w:rPr>
                <w:sz w:val="17"/>
              </w:rPr>
              <w:t>POST</w:t>
            </w:r>
          </w:p>
        </w:tc>
        <w:tc>
          <w:tcPr>
            <w:tcW w:type="dxa" w:w="3324"/>
          </w:tcPr>
          <w:p>
            <w:r>
              <w:rPr>
                <w:sz w:val="17"/>
              </w:rPr>
              <w:t>MC 分位带(samples/seed/error_factor);携带 project_uuid+payload 时自动钉扎案例</w:t>
            </w:r>
          </w:p>
        </w:tc>
      </w:tr>
      <w:tr>
        <w:tc>
          <w:tcPr>
            <w:tcW w:type="dxa" w:w="3324"/>
          </w:tcPr>
          <w:p>
            <w:r>
              <w:rPr>
                <w:rFonts w:ascii="Consolas" w:hAnsi="Consolas"/>
                <w:sz w:val="17"/>
              </w:rPr>
              <w:t>/api/event-tree/importance</w:t>
            </w:r>
          </w:p>
        </w:tc>
        <w:tc>
          <w:tcPr>
            <w:tcW w:type="dxa" w:w="3324"/>
          </w:tcPr>
          <w:p>
            <w:r>
              <w:rPr>
                <w:sz w:val="17"/>
              </w:rPr>
              <w:t>POST</w:t>
            </w:r>
          </w:p>
        </w:tc>
        <w:tc>
          <w:tcPr>
            <w:tcW w:type="dxa" w:w="3324"/>
          </w:tcPr>
          <w:p>
            <w:r>
              <w:rPr>
                <w:sz w:val="17"/>
              </w:rPr>
              <w:t>屏障级 FV/RAW(扰动法);同上可钉扎</w:t>
            </w:r>
          </w:p>
        </w:tc>
      </w:tr>
      <w:tr>
        <w:tc>
          <w:tcPr>
            <w:tcW w:type="dxa" w:w="3324"/>
          </w:tcPr>
          <w:p>
            <w:r>
              <w:rPr>
                <w:rFonts w:ascii="Consolas" w:hAnsi="Consolas"/>
                <w:sz w:val="17"/>
              </w:rPr>
              <w:t>/api/report?format=docx|pdf|csv</w:t>
            </w:r>
          </w:p>
        </w:tc>
        <w:tc>
          <w:tcPr>
            <w:tcW w:type="dxa" w:w="3324"/>
          </w:tcPr>
          <w:p>
            <w:r>
              <w:rPr>
                <w:sz w:val="17"/>
              </w:rPr>
              <w:t>POST</w:t>
            </w:r>
          </w:p>
        </w:tc>
        <w:tc>
          <w:tcPr>
            <w:tcW w:type="dxa" w:w="3324"/>
          </w:tcPr>
          <w:p>
            <w:r>
              <w:rPr>
                <w:sz w:val="17"/>
              </w:rPr>
              <w:t>报告导出;携带项目上下文 → auto-pin 版本+案例+证据页脚</w:t>
            </w:r>
          </w:p>
        </w:tc>
      </w:tr>
      <w:tr>
        <w:tc>
          <w:tcPr>
            <w:tcW w:type="dxa" w:w="3324"/>
          </w:tcPr>
          <w:p>
            <w:r>
              <w:rPr>
                <w:rFonts w:ascii="Consolas" w:hAnsi="Consolas"/>
                <w:sz w:val="17"/>
              </w:rPr>
              <w:t>/api/saved</w:t>
            </w:r>
            <w:r>
              <w:rPr>
                <w:sz w:val="17"/>
              </w:rPr>
              <w:t>(CRUD)</w:t>
            </w:r>
          </w:p>
        </w:tc>
        <w:tc>
          <w:tcPr>
            <w:tcW w:type="dxa" w:w="3324"/>
          </w:tcPr>
          <w:p>
            <w:r>
              <w:rPr>
                <w:sz w:val="17"/>
              </w:rPr>
              <w:t>GET/POST/DELETE</w:t>
            </w:r>
          </w:p>
        </w:tc>
        <w:tc>
          <w:tcPr>
            <w:tcW w:type="dxa" w:w="3324"/>
          </w:tcPr>
          <w:p>
            <w:r>
              <w:rPr>
                <w:sz w:val="17"/>
              </w:rPr>
              <w:t>工作区存档;POST 双写规范版本(响应含 version 块);GET 单档附 project_uuid</w:t>
            </w:r>
          </w:p>
        </w:tc>
      </w:tr>
      <w:tr>
        <w:tc>
          <w:tcPr>
            <w:tcW w:type="dxa" w:w="3324"/>
          </w:tcPr>
          <w:p>
            <w:r>
              <w:rPr>
                <w:rFonts w:ascii="Consolas" w:hAnsi="Consolas"/>
                <w:sz w:val="17"/>
              </w:rPr>
              <w:t>/api/projects…</w:t>
            </w:r>
          </w:p>
        </w:tc>
        <w:tc>
          <w:tcPr>
            <w:tcW w:type="dxa" w:w="3324"/>
          </w:tcPr>
          <w:p>
            <w:r>
              <w:rPr>
                <w:sz w:val="17"/>
              </w:rPr>
              <w:t>GET</w:t>
            </w:r>
          </w:p>
        </w:tc>
        <w:tc>
          <w:tcPr>
            <w:tcW w:type="dxa" w:w="3324"/>
          </w:tcPr>
          <w:p>
            <w:r>
              <w:rPr>
                <w:sz w:val="17"/>
              </w:rPr>
              <w:t>版本库只读面:项目/版本(?include_doc)/案例/审计/</w:t>
            </w:r>
            <w:r>
              <w:rPr>
                <w:b/>
                <w:sz w:val="17"/>
              </w:rPr>
              <w:t>diff?from&amp;to</w:t>
            </w:r>
          </w:p>
        </w:tc>
      </w:tr>
      <w:tr>
        <w:tc>
          <w:tcPr>
            <w:tcW w:type="dxa" w:w="3324"/>
          </w:tcPr>
          <w:p>
            <w:r>
              <w:rPr>
                <w:rFonts w:ascii="Consolas" w:hAnsi="Consolas"/>
                <w:sz w:val="17"/>
              </w:rPr>
              <w:t>/api/ft/frequency</w:t>
            </w:r>
          </w:p>
        </w:tc>
        <w:tc>
          <w:tcPr>
            <w:tcW w:type="dxa" w:w="3324"/>
          </w:tcPr>
          <w:p>
            <w:r>
              <w:rPr>
                <w:sz w:val="17"/>
              </w:rPr>
              <w:t>POST</w:t>
            </w:r>
          </w:p>
        </w:tc>
        <w:tc>
          <w:tcPr>
            <w:tcW w:type="dxa" w:w="3324"/>
          </w:tcPr>
          <w:p>
            <w:r>
              <w:rPr>
                <w:sz w:val="17"/>
              </w:rPr>
              <w:t>初因故障树 → 频率(/yr):每割集恰一频率事件(§4.13);违规 400 点名割集</w:t>
            </w:r>
          </w:p>
        </w:tc>
      </w:tr>
      <w:tr>
        <w:tc>
          <w:tcPr>
            <w:tcW w:type="dxa" w:w="3324"/>
          </w:tcPr>
          <w:p>
            <w:r>
              <w:rPr>
                <w:rFonts w:ascii="Consolas" w:hAnsi="Consolas"/>
                <w:sz w:val="17"/>
              </w:rPr>
              <w:t>/api/portfolio</w:t>
            </w:r>
          </w:p>
        </w:tc>
        <w:tc>
          <w:tcPr>
            <w:tcW w:type="dxa" w:w="3324"/>
          </w:tcPr>
          <w:p>
            <w:r>
              <w:rPr>
                <w:sz w:val="17"/>
              </w:rPr>
              <w:t>GET</w:t>
            </w:r>
          </w:p>
        </w:tc>
        <w:tc>
          <w:tcPr>
            <w:tcW w:type="dxa" w:w="3324"/>
          </w:tcPr>
          <w:p>
            <w:r>
              <w:rPr>
                <w:sz w:val="17"/>
              </w:rPr>
              <w:t xml:space="preserve">组合总览:每项目一行——已钉扎案例数字(scenario/版本哈希)、最新版评审态、挂起评审 </w:t>
            </w:r>
            <w:r>
              <w:rPr>
                <w:rFonts w:ascii="Consolas" w:hAnsi="Consolas"/>
                <w:sz w:val="17"/>
              </w:rPr>
              <w:t>open_review</w:t>
            </w:r>
            <w:r>
              <w:rPr>
                <w:sz w:val="17"/>
              </w:rPr>
              <w:t xml:space="preserve">、矩阵落格 </w:t>
            </w:r>
            <w:r>
              <w:rPr>
                <w:rFonts w:ascii="Consolas" w:hAnsi="Consolas"/>
                <w:sz w:val="17"/>
              </w:rPr>
              <w:t>risk</w:t>
            </w:r>
            <w:r>
              <w:rPr>
                <w:sz w:val="17"/>
              </w:rPr>
              <w:t>(§5.4)</w:t>
            </w:r>
          </w:p>
        </w:tc>
      </w:tr>
      <w:tr>
        <w:tc>
          <w:tcPr>
            <w:tcW w:type="dxa" w:w="3324"/>
          </w:tcPr>
          <w:p>
            <w:r>
              <w:rPr>
                <w:rFonts w:ascii="Consolas" w:hAnsi="Consolas"/>
                <w:sz w:val="17"/>
              </w:rPr>
              <w:t>/api/projects/{p}/reviews</w:t>
            </w:r>
          </w:p>
        </w:tc>
        <w:tc>
          <w:tcPr>
            <w:tcW w:type="dxa" w:w="3324"/>
          </w:tcPr>
          <w:p>
            <w:r>
              <w:rPr>
                <w:sz w:val="17"/>
              </w:rPr>
              <w:t>GET/POST</w:t>
            </w:r>
          </w:p>
        </w:tc>
        <w:tc>
          <w:tcPr>
            <w:tcW w:type="dxa" w:w="3324"/>
          </w:tcPr>
          <w:p>
            <w:r>
              <w:rPr>
                <w:sz w:val="17"/>
              </w:rPr>
              <w:t>评审台账 / 送审(version_id);</w:t>
            </w:r>
            <w:r>
              <w:rPr>
                <w:rFonts w:ascii="Consolas" w:hAnsi="Consolas"/>
                <w:sz w:val="17"/>
              </w:rPr>
              <w:t>…/{vid}/sign|return</w:t>
            </w:r>
            <w:r>
              <w:rPr>
                <w:sz w:val="17"/>
              </w:rPr>
              <w:t xml:space="preserve"> 签发(终态)/退回(必填理由);</w:t>
            </w:r>
            <w:r>
              <w:rPr>
                <w:rFonts w:ascii="Consolas" w:hAnsi="Consolas"/>
                <w:sz w:val="17"/>
              </w:rPr>
              <w:t>…/versions/{vid}/comments</w:t>
            </w:r>
            <w:r>
              <w:rPr>
                <w:sz w:val="17"/>
              </w:rPr>
              <w:t xml:space="preserve"> 评论(§4.14)</w:t>
            </w:r>
          </w:p>
        </w:tc>
      </w:tr>
      <w:tr>
        <w:tc>
          <w:tcPr>
            <w:tcW w:type="dxa" w:w="3324"/>
          </w:tcPr>
          <w:p>
            <w:r>
              <w:rPr>
                <w:rFonts w:ascii="Consolas" w:hAnsi="Consolas"/>
                <w:sz w:val="17"/>
              </w:rPr>
              <w:t>/api/auth/login|logout|me</w:t>
            </w:r>
          </w:p>
        </w:tc>
        <w:tc>
          <w:tcPr>
            <w:tcW w:type="dxa" w:w="3324"/>
          </w:tcPr>
          <w:p>
            <w:r>
              <w:rPr>
                <w:sz w:val="17"/>
              </w:rPr>
              <w:t>POST/GET</w:t>
            </w:r>
          </w:p>
        </w:tc>
        <w:tc>
          <w:tcPr>
            <w:tcW w:type="dxa" w:w="3324"/>
          </w:tcPr>
          <w:p>
            <w:r>
              <w:rPr>
                <w:sz w:val="17"/>
              </w:rPr>
              <w:t xml:space="preserve">本地认证(local 模式):HttpOnly 会话 cookie;统一 401 文案(枚举防御);off 模式 /me 报 </w:t>
            </w:r>
            <w:r>
              <w:rPr>
                <w:rFonts w:ascii="Consolas" w:hAnsi="Consolas"/>
                <w:sz w:val="17"/>
              </w:rPr>
              <w:t>mode:off</w:t>
            </w:r>
          </w:p>
        </w:tc>
      </w:tr>
      <w:tr>
        <w:tc>
          <w:tcPr>
            <w:tcW w:type="dxa" w:w="3324"/>
          </w:tcPr>
          <w:p>
            <w:r>
              <w:rPr>
                <w:rFonts w:ascii="Consolas" w:hAnsi="Consolas"/>
                <w:sz w:val="17"/>
              </w:rPr>
              <w:t>/api/import/mef</w:t>
            </w:r>
          </w:p>
        </w:tc>
        <w:tc>
          <w:tcPr>
            <w:tcW w:type="dxa" w:w="3324"/>
          </w:tcPr>
          <w:p>
            <w:r>
              <w:rPr>
                <w:sz w:val="17"/>
              </w:rPr>
              <w:t>POST</w:t>
            </w:r>
          </w:p>
        </w:tc>
        <w:tc>
          <w:tcPr>
            <w:tcW w:type="dxa" w:w="3324"/>
          </w:tcPr>
          <w:p>
            <w:r>
              <w:rPr>
                <w:sz w:val="17"/>
              </w:rPr>
              <w:t>Open-PSA MEF XML → 模型 JSON(含 CCF 组)</w:t>
            </w:r>
          </w:p>
        </w:tc>
      </w:tr>
      <w:tr>
        <w:tc>
          <w:tcPr>
            <w:tcW w:type="dxa" w:w="3324"/>
          </w:tcPr>
          <w:p>
            <w:r>
              <w:rPr>
                <w:rFonts w:ascii="Consolas" w:hAnsi="Consolas"/>
                <w:sz w:val="17"/>
              </w:rPr>
              <w:t>/api/ai/draft-model</w:t>
            </w:r>
          </w:p>
        </w:tc>
        <w:tc>
          <w:tcPr>
            <w:tcW w:type="dxa" w:w="3324"/>
          </w:tcPr>
          <w:p>
            <w:r>
              <w:rPr>
                <w:sz w:val="17"/>
              </w:rPr>
              <w:t>POST</w:t>
            </w:r>
          </w:p>
        </w:tc>
        <w:tc>
          <w:tcPr>
            <w:tcW w:type="dxa" w:w="3324"/>
          </w:tcPr>
          <w:p>
            <w:r>
              <w:rPr>
                <w:sz w:val="17"/>
              </w:rPr>
              <w:t>AI 草案(需 PSA_AI_ENABLED);返回草案+validation+provenance</w:t>
            </w:r>
          </w:p>
        </w:tc>
      </w:tr>
      <w:tr>
        <w:tc>
          <w:tcPr>
            <w:tcW w:type="dxa" w:w="3324"/>
          </w:tcPr>
          <w:p>
            <w:r>
              <w:rPr>
                <w:rFonts w:ascii="Consolas" w:hAnsi="Consolas"/>
                <w:sz w:val="17"/>
              </w:rPr>
              <w:t>/api/schema/project-document/1.0</w:t>
            </w:r>
          </w:p>
        </w:tc>
        <w:tc>
          <w:tcPr>
            <w:tcW w:type="dxa" w:w="3324"/>
          </w:tcPr>
          <w:p>
            <w:r>
              <w:rPr>
                <w:sz w:val="17"/>
              </w:rPr>
              <w:t>GET</w:t>
            </w:r>
          </w:p>
        </w:tc>
        <w:tc>
          <w:tcPr>
            <w:tcW w:type="dxa" w:w="3324"/>
          </w:tcPr>
          <w:p>
            <w:r>
              <w:rPr>
                <w:sz w:val="17"/>
              </w:rPr>
              <w:t>规范文档 JSON Schema(严格模式)</w:t>
            </w:r>
          </w:p>
        </w:tc>
      </w:tr>
      <w:tr>
        <w:tc>
          <w:tcPr>
            <w:tcW w:type="dxa" w:w="3324"/>
          </w:tcPr>
          <w:p>
            <w:r>
              <w:rPr>
                <w:rFonts w:ascii="Consolas" w:hAnsi="Consolas"/>
                <w:sz w:val="17"/>
              </w:rPr>
              <w:t>/api/bess/*</w:t>
            </w:r>
          </w:p>
        </w:tc>
        <w:tc>
          <w:tcPr>
            <w:tcW w:type="dxa" w:w="3324"/>
          </w:tcPr>
          <w:p>
            <w:r>
              <w:rPr>
                <w:sz w:val="17"/>
              </w:rPr>
              <w:t>GET</w:t>
            </w:r>
          </w:p>
        </w:tc>
        <w:tc>
          <w:tcPr>
            <w:tcW w:type="dxa" w:w="3324"/>
          </w:tcPr>
          <w:p>
            <w:r>
              <w:rPr>
                <w:sz w:val="17"/>
              </w:rPr>
              <w:t>领域数据:scenarios / event-tree?scenario= / library / thermal-runaway</w:t>
            </w:r>
          </w:p>
        </w:tc>
      </w:tr>
    </w:tbl>
    <w:p>
      <w:pPr>
        <w:pStyle w:val="Heading1"/>
      </w:pPr>
      <w:r>
        <w:t>6 工作示例</w:t>
      </w:r>
    </w:p>
    <w:p>
      <w:pPr>
        <w:pStyle w:val="Heading2"/>
      </w:pPr>
      <w:r>
        <w:t>6.1 α 因子 CCF 手算(2oo3 传感通道)</w:t>
      </w:r>
    </w:p>
    <w:p>
      <w:r>
        <w:t xml:space="preserve">三取二气体探测,单通道 </w:t>
      </w:r>
      <w:r>
        <w:rPr>
          <w:i/>
        </w:rPr>
        <w:t>Q</w:t>
      </w:r>
      <w:r>
        <w:rPr>
          <w:i/>
          <w:vertAlign w:val="subscript"/>
        </w:rPr>
        <w:t>t</w:t>
      </w:r>
      <w:r>
        <w:rPr/>
        <w:t>=1×10⁻²,α=(0.95, 0.03, 0.02),非错峰。</w:t>
        <w:br/>
        <w:t xml:space="preserve">  </w:t>
      </w:r>
      <w:r>
        <w:rPr>
          <w:i/>
        </w:rPr>
        <w:t>α</w:t>
      </w:r>
      <w:r>
        <w:rPr>
          <w:i/>
          <w:vertAlign w:val="subscript"/>
        </w:rPr>
        <w:t>t</w:t>
      </w:r>
      <w:r>
        <w:rPr/>
        <w:t>=1×0.95+2×0.03+3×0.02=1.07:</w:t>
      </w:r>
    </w:p>
    <w:p>
      <w:pPr>
        <w:jc w:val="center"/>
      </w:pPr>
      <w:r>
        <w:rPr>
          <w:sz w:val="22"/>
        </w:rPr>
        <w:br/>
        <w:t xml:space="preserve">    Q₁ = (0.95/1.07)·10⁻² = 8.879×10⁻³  · </w:t>
        <w:br/>
        <w:t xml:space="preserve">    Q₂ = (2/2)·(0.03/1.07)·10⁻² = 2.804×10⁻⁴  · </w:t>
        <w:br/>
        <w:t xml:space="preserve">    Q₃ = 3·(0.02/1.07)·10⁻² = 5.607×10⁻⁴</w:t>
        <w:br/>
        <w:t xml:space="preserve">  </w:t>
      </w:r>
    </w:p>
    <w:p>
      <w:r>
        <w:t>校核式(4-6):</w:t>
      </w:r>
      <w:r>
        <w:rPr>
          <w:i/>
        </w:rPr>
        <w:t>Q₁+2Q₂+Q₃ = 8.879e-3 + 5.607e-4 + 5.607e-4 = 1.000e-2 ✓</w:t>
      </w:r>
      <w:r>
        <w:rPr/>
        <w:t>。</w:t>
        <w:br/>
        <w:t xml:space="preserve">  2oo3 系统失效由 BDD 在展开模型上精确给出;近似看量级:三对 Q₂ 贡献 ≈3×2.8e-4,三重 Q₃ ≈5.6e-4,</w:t>
        <w:br/>
        <w:t xml:space="preserve">  共因主导(独立双失效仅 ≈3×(8.9e-3)²≈2.4e-4)——正是 α 模型对冗余通道"打折"的原因。</w:t>
      </w:r>
    </w:p>
    <w:p>
      <w:pPr>
        <w:pStyle w:val="Heading2"/>
      </w:pPr>
      <w:r>
        <w:t>6.2 McMicken 2019 真实事故对标</w:t>
      </w:r>
    </w:p>
    <w:p>
      <w:r>
        <w:t xml:space="preserve">预置模板 </w:t>
      </w:r>
      <w:r>
        <w:rPr>
          <w:rFonts w:ascii="Consolas" w:hAnsi="Consolas"/>
          <w:sz w:val="19"/>
        </w:rPr>
        <w:t>bess-case-mcmicken</w:t>
      </w:r>
      <w:r>
        <w:rPr/>
        <w:t xml:space="preserve"> 按 DNV 事故报告</w:t>
      </w:r>
      <w:r>
        <w:rPr>
          <w:vertAlign w:val="superscript"/>
        </w:rPr>
        <w:t>[11]</w:t>
      </w:r>
      <w:r>
        <w:rPr/>
        <w:br/>
        <w:t xml:space="preserve">  的</w:t>
      </w:r>
      <w:r>
        <w:rPr>
          <w:b/>
        </w:rPr>
        <w:t>反循环原则</w:t>
      </w:r>
      <w:r>
        <w:rPr/>
        <w:t>建模:仅把报告记录的装备缺失编码为近失败,其余取库先验。</w:t>
      </w:r>
    </w:p>
    <w:p>
      <w:pPr>
        <w:spacing w:before="160"/>
      </w:pPr>
      <w:r>
        <w:rPr>
          <w:b/>
          <w:color w:val="66788C"/>
          <w:sz w:val="18"/>
        </w:rPr>
        <w:t>表 8</w:t>
      </w:r>
      <w:r>
        <w:rPr>
          <w:color w:val="66788C"/>
          <w:sz w:val="18"/>
        </w:rPr>
        <w:t xml:space="preserve"> · McMicken 屏障链(IE = 5×10⁻³ /yr,内短路致 TR;全部 D 级,逐条 DNV 根因注记)</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E8EDF5"/>
          </w:tcPr>
          <w:p>
            <w:r>
              <w:rPr>
                <w:b/>
                <w:sz w:val="17"/>
              </w:rPr>
              <w:t>#</w:t>
            </w:r>
          </w:p>
        </w:tc>
        <w:tc>
          <w:tcPr>
            <w:tcW w:type="dxa" w:w="2493"/>
            <w:shd w:val="clear" w:fill="E8EDF5"/>
          </w:tcPr>
          <w:p>
            <w:r>
              <w:rPr>
                <w:b/>
                <w:sz w:val="17"/>
              </w:rPr>
              <w:t>屏障</w:t>
            </w:r>
          </w:p>
        </w:tc>
        <w:tc>
          <w:tcPr>
            <w:tcW w:type="dxa" w:w="2493"/>
            <w:shd w:val="clear" w:fill="E8EDF5"/>
          </w:tcPr>
          <w:p>
            <w:r>
              <w:rPr>
                <w:b/>
                <w:sz w:val="17"/>
              </w:rPr>
              <w:t>失败率</w:t>
            </w:r>
          </w:p>
        </w:tc>
        <w:tc>
          <w:tcPr>
            <w:tcW w:type="dxa" w:w="2493"/>
            <w:shd w:val="clear" w:fill="E8EDF5"/>
          </w:tcPr>
          <w:p>
            <w:r>
              <w:rPr>
                <w:b/>
                <w:sz w:val="17"/>
              </w:rPr>
              <w:t>口径注记</w:t>
            </w:r>
          </w:p>
        </w:tc>
      </w:tr>
      <w:tr>
        <w:tc>
          <w:tcPr>
            <w:tcW w:type="dxa" w:w="2493"/>
          </w:tcPr>
          <w:p>
            <w:r>
              <w:rPr>
                <w:sz w:val="17"/>
              </w:rPr>
              <w:t>1</w:t>
            </w:r>
          </w:p>
        </w:tc>
        <w:tc>
          <w:tcPr>
            <w:tcW w:type="dxa" w:w="2493"/>
          </w:tcPr>
          <w:p>
            <w:r>
              <w:rPr>
                <w:sz w:val="17"/>
              </w:rPr>
              <w:t>早期离气探测+联动停机</w:t>
            </w:r>
          </w:p>
        </w:tc>
        <w:tc>
          <w:tcPr>
            <w:tcW w:type="dxa" w:w="2493"/>
          </w:tcPr>
          <w:p>
            <w:r>
              <w:rPr>
                <w:sz w:val="17"/>
              </w:rPr>
              <w:t>0.10</w:t>
            </w:r>
          </w:p>
        </w:tc>
        <w:tc>
          <w:tcPr>
            <w:tcW w:type="dxa" w:w="2493"/>
          </w:tcPr>
          <w:p>
            <w:r>
              <w:rPr>
                <w:sz w:val="17"/>
              </w:rPr>
              <w:t>探测有限、未触发有效干预</w:t>
            </w:r>
          </w:p>
        </w:tc>
      </w:tr>
      <w:tr>
        <w:tc>
          <w:tcPr>
            <w:tcW w:type="dxa" w:w="2493"/>
          </w:tcPr>
          <w:p>
            <w:r>
              <w:rPr>
                <w:sz w:val="17"/>
              </w:rPr>
              <w:t>2</w:t>
            </w:r>
          </w:p>
        </w:tc>
        <w:tc>
          <w:tcPr>
            <w:tcW w:type="dxa" w:w="2493"/>
          </w:tcPr>
          <w:p>
            <w:r>
              <w:rPr>
                <w:sz w:val="17"/>
              </w:rPr>
              <w:t>BMS 切断/隔离</w:t>
            </w:r>
          </w:p>
        </w:tc>
        <w:tc>
          <w:tcPr>
            <w:tcW w:type="dxa" w:w="2493"/>
          </w:tcPr>
          <w:p>
            <w:r>
              <w:rPr>
                <w:sz w:val="17"/>
              </w:rPr>
              <w:t>0.10</w:t>
            </w:r>
          </w:p>
        </w:tc>
        <w:tc>
          <w:tcPr>
            <w:tcW w:type="dxa" w:w="2493"/>
          </w:tcPr>
          <w:p>
            <w:r>
              <w:rPr>
                <w:sz w:val="17"/>
              </w:rPr>
              <w:t>单芯 TR 已自持,仅部分阻断级联</w:t>
            </w:r>
          </w:p>
        </w:tc>
      </w:tr>
      <w:tr>
        <w:tc>
          <w:tcPr>
            <w:tcW w:type="dxa" w:w="2493"/>
          </w:tcPr>
          <w:p>
            <w:r>
              <w:rPr>
                <w:sz w:val="17"/>
              </w:rPr>
              <w:t>3</w:t>
            </w:r>
          </w:p>
        </w:tc>
        <w:tc>
          <w:tcPr>
            <w:tcW w:type="dxa" w:w="2493"/>
          </w:tcPr>
          <w:p>
            <w:r>
              <w:rPr>
                <w:sz w:val="17"/>
              </w:rPr>
              <w:t>电芯间热障</w:t>
            </w:r>
          </w:p>
        </w:tc>
        <w:tc>
          <w:tcPr>
            <w:tcW w:type="dxa" w:w="2493"/>
          </w:tcPr>
          <w:p>
            <w:r>
              <w:rPr>
                <w:b/>
                <w:sz w:val="17"/>
              </w:rPr>
              <w:t>0.95</w:t>
            </w:r>
          </w:p>
        </w:tc>
        <w:tc>
          <w:tcPr>
            <w:tcW w:type="dxa" w:w="2493"/>
          </w:tcPr>
          <w:p>
            <w:r>
              <w:rPr>
                <w:sz w:val="17"/>
              </w:rPr>
              <w:t>设计事实:无热障 → 近确定级联(反事实复原 0.15)</w:t>
            </w:r>
          </w:p>
        </w:tc>
      </w:tr>
      <w:tr>
        <w:tc>
          <w:tcPr>
            <w:tcW w:type="dxa" w:w="2493"/>
          </w:tcPr>
          <w:p>
            <w:r>
              <w:rPr>
                <w:sz w:val="17"/>
              </w:rPr>
              <w:t>4</w:t>
            </w:r>
          </w:p>
        </w:tc>
        <w:tc>
          <w:tcPr>
            <w:tcW w:type="dxa" w:w="2493"/>
          </w:tcPr>
          <w:p>
            <w:r>
              <w:rPr>
                <w:sz w:val="17"/>
              </w:rPr>
              <w:t>舱级灭火 Novec 1230</w:t>
            </w:r>
          </w:p>
        </w:tc>
        <w:tc>
          <w:tcPr>
            <w:tcW w:type="dxa" w:w="2493"/>
          </w:tcPr>
          <w:p>
            <w:r>
              <w:rPr>
                <w:sz w:val="17"/>
              </w:rPr>
              <w:t>0.70</w:t>
            </w:r>
          </w:p>
        </w:tc>
        <w:tc>
          <w:tcPr>
            <w:tcW w:type="dxa" w:w="2493"/>
          </w:tcPr>
          <w:p>
            <w:r>
              <w:rPr>
                <w:sz w:val="17"/>
              </w:rPr>
              <w:t>已喷放但对 TR 链无效</w:t>
            </w:r>
          </w:p>
        </w:tc>
      </w:tr>
      <w:tr>
        <w:tc>
          <w:tcPr>
            <w:tcW w:type="dxa" w:w="2493"/>
          </w:tcPr>
          <w:p>
            <w:r>
              <w:rPr>
                <w:sz w:val="17"/>
              </w:rPr>
              <w:t>5</w:t>
            </w:r>
          </w:p>
        </w:tc>
        <w:tc>
          <w:tcPr>
            <w:tcW w:type="dxa" w:w="2493"/>
          </w:tcPr>
          <w:p>
            <w:r>
              <w:rPr>
                <w:sz w:val="17"/>
              </w:rPr>
              <w:t>泄爆/防爆</w:t>
            </w:r>
          </w:p>
        </w:tc>
        <w:tc>
          <w:tcPr>
            <w:tcW w:type="dxa" w:w="2493"/>
          </w:tcPr>
          <w:p>
            <w:r>
              <w:rPr>
                <w:b/>
                <w:sz w:val="17"/>
              </w:rPr>
              <w:t>0.95</w:t>
            </w:r>
          </w:p>
        </w:tc>
        <w:tc>
          <w:tcPr>
            <w:tcW w:type="dxa" w:w="2493"/>
          </w:tcPr>
          <w:p>
            <w:r>
              <w:rPr>
                <w:sz w:val="17"/>
              </w:rPr>
              <w:t>设计事实:无泄爆/排风 → 可燃气积聚(复原 0.10)</w:t>
            </w:r>
          </w:p>
        </w:tc>
      </w:tr>
      <w:tr>
        <w:tc>
          <w:tcPr>
            <w:tcW w:type="dxa" w:w="2493"/>
          </w:tcPr>
          <w:p>
            <w:r>
              <w:rPr>
                <w:sz w:val="17"/>
              </w:rPr>
              <w:t>6</w:t>
            </w:r>
          </w:p>
        </w:tc>
        <w:tc>
          <w:tcPr>
            <w:tcW w:type="dxa" w:w="2493"/>
          </w:tcPr>
          <w:p>
            <w:r>
              <w:rPr>
                <w:sz w:val="17"/>
              </w:rPr>
              <w:t>应急响应(避免开门引气)</w:t>
            </w:r>
          </w:p>
        </w:tc>
        <w:tc>
          <w:tcPr>
            <w:tcW w:type="dxa" w:w="2493"/>
          </w:tcPr>
          <w:p>
            <w:r>
              <w:rPr>
                <w:sz w:val="17"/>
              </w:rPr>
              <w:t>0.30</w:t>
            </w:r>
          </w:p>
        </w:tc>
        <w:tc>
          <w:tcPr>
            <w:tcW w:type="dxa" w:w="2493"/>
          </w:tcPr>
          <w:p>
            <w:r>
              <w:rPr>
                <w:sz w:val="17"/>
              </w:rPr>
              <w:t>实况:消防员开门 2–3 分钟内引爆</w:t>
            </w:r>
          </w:p>
        </w:tc>
      </w:tr>
    </w:tbl>
    <w:p>
      <w:r>
        <w:t xml:space="preserve">严重后果(≥III / C4+)累计 = 5e-3 × 0.1 × 0.1 × 0.95 × 0.7 ≈ </w:t>
      </w:r>
      <w:r>
        <w:rPr>
          <w:b/>
        </w:rPr>
        <w:t>3.3×10⁻⁵ /yr</w:t>
      </w:r>
      <w:r>
        <w:rPr/>
        <w:br/>
        <w:t xml:space="preserve">  (引擎精确量化与手算一致)。对标价值在</w:t>
      </w:r>
      <w:r>
        <w:rPr>
          <w:b/>
        </w:rPr>
        <w:t>反事实</w:t>
      </w:r>
      <w:r>
        <w:rPr/>
        <w:t>:把热障/泄爆复原到库先验后 C5 频率显著回落</w:t>
        <w:br/>
        <w:t xml:space="preserve">  ——结构解释与事故一致,而非数字拟合。</w:t>
      </w:r>
    </w:p>
    <w:p>
      <w:pPr>
        <w:pStyle w:val="Heading2"/>
      </w:pPr>
      <w:r>
        <w:t>6.3 边界条件 API 调用</w:t>
      </w:r>
    </w:p>
    <w:p>
      <w:pPr>
        <w:ind w:left="283"/>
      </w:pPr>
      <w:r>
        <w:rPr>
          <w:rFonts w:ascii="Consolas" w:hAnsi="Consolas"/>
          <w:sz w:val="17"/>
        </w:rPr>
        <w:t>POST /api/quantify</w:t>
      </w:r>
      <w:r>
        <w:br/>
      </w:r>
      <w:r>
        <w:rPr>
          <w:rFonts w:ascii="Consolas" w:hAnsi="Consolas"/>
          <w:sz w:val="17"/>
        </w:rPr>
        <w:t>{</w:t>
      </w:r>
      <w:r>
        <w:br/>
      </w:r>
      <w:r>
        <w:rPr>
          <w:rFonts w:ascii="Consolas" w:hAnsi="Consolas"/>
          <w:sz w:val="17"/>
        </w:rPr>
        <w:t xml:space="preserve">  "model": { …, "boundary_condition_sets": [</w:t>
      </w:r>
      <w:r>
        <w:br/>
      </w:r>
      <w:r>
        <w:rPr>
          <w:rFonts w:ascii="Consolas" w:hAnsi="Consolas"/>
          <w:sz w:val="17"/>
        </w:rPr>
        <w:t xml:space="preserve">      { "name": "检修", "house_states": { "H_MAINT": true } } ] },</w:t>
      </w:r>
      <w:r>
        <w:br/>
      </w:r>
      <w:r>
        <w:rPr>
          <w:rFonts w:ascii="Consolas" w:hAnsi="Consolas"/>
          <w:sz w:val="17"/>
        </w:rPr>
        <w:t xml:space="preserve">  "fault_tree": "T",</w:t>
      </w:r>
      <w:r>
        <w:br/>
      </w:r>
      <w:r>
        <w:rPr>
          <w:rFonts w:ascii="Consolas" w:hAnsi="Consolas"/>
          <w:sz w:val="17"/>
        </w:rPr>
        <w:t xml:space="preserve">  "boundary_condition_set": "检修",          // 命名集打底</w:t>
      </w:r>
      <w:r>
        <w:br/>
      </w:r>
      <w:r>
        <w:rPr>
          <w:rFonts w:ascii="Consolas" w:hAnsi="Consolas"/>
          <w:sz w:val="17"/>
        </w:rPr>
        <w:t xml:space="preserve">  "house_states": { "H_BYPASS": false }      // 显式覆盖逐键优先</w:t>
      </w:r>
      <w:r>
        <w:br/>
      </w:r>
      <w:r>
        <w:rPr>
          <w:rFonts w:ascii="Consolas" w:hAnsi="Consolas"/>
          <w:sz w:val="17"/>
        </w:rPr>
        <w:t>}</w:t>
      </w:r>
      <w:r>
        <w:br/>
      </w:r>
      <w:r>
        <w:rPr>
          <w:rFonts w:ascii="Consolas" w:hAnsi="Consolas"/>
          <w:sz w:val="17"/>
        </w:rPr>
        <w:t>→ { "probability": 0.208, "cutsets": [...], ... }   // 模型本体不被改写</w:t>
      </w:r>
    </w:p>
    <w:p>
      <w:pPr>
        <w:pStyle w:val="Heading2"/>
      </w:pPr>
      <w:r>
        <w:t>6.4 后处理规则:互斥维修态</w:t>
      </w:r>
    </w:p>
    <w:p>
      <w:pPr>
        <w:ind w:left="283"/>
      </w:pPr>
      <w:r>
        <w:rPr>
          <w:rFonts w:ascii="Consolas" w:hAnsi="Consolas"/>
          <w:sz w:val="17"/>
        </w:rPr>
        <w:t>POST /api/quantify</w:t>
      </w:r>
      <w:r>
        <w:br/>
      </w:r>
      <w:r>
        <w:rPr>
          <w:rFonts w:ascii="Consolas" w:hAnsi="Consolas"/>
          <w:sz w:val="17"/>
        </w:rPr>
        <w:t>{ …, "post_rules": [</w:t>
      </w:r>
      <w:r>
        <w:br/>
      </w:r>
      <w:r>
        <w:rPr>
          <w:rFonts w:ascii="Consolas" w:hAnsi="Consolas"/>
          <w:sz w:val="17"/>
        </w:rPr>
        <w:t xml:space="preserve">    { "kind": "mutually_exclusive", "events": ["M1_维修", "M2_维修"] },</w:t>
      </w:r>
      <w:r>
        <w:br/>
      </w:r>
      <w:r>
        <w:rPr>
          <w:rFonts w:ascii="Consolas" w:hAnsi="Consolas"/>
          <w:sz w:val="17"/>
        </w:rPr>
        <w:t xml:space="preserve">    { "kind": "recovery", "events": ["DG_START_FAIL"],</w:t>
      </w:r>
      <w:r>
        <w:br/>
      </w:r>
      <w:r>
        <w:rPr>
          <w:rFonts w:ascii="Consolas" w:hAnsi="Consolas"/>
          <w:sz w:val="17"/>
        </w:rPr>
        <w:t xml:space="preserve">      "add_event": "OP_RECOVER", "prob": 0.1 } ] }</w:t>
      </w:r>
      <w:r>
        <w:br/>
      </w:r>
      <w:r>
        <w:rPr>
          <w:rFonts w:ascii="Consolas" w:hAnsi="Consolas"/>
          <w:sz w:val="17"/>
        </w:rPr>
        <w:t>→ { "probability": 1.364e-2,                    // 精确值:不变</w:t>
      </w:r>
      <w:r>
        <w:br/>
      </w:r>
      <w:r>
        <w:rPr>
          <w:rFonts w:ascii="Consolas" w:hAnsi="Consolas"/>
          <w:sz w:val="17"/>
        </w:rPr>
        <w:t xml:space="preserve">    "post": { "removed": 1, "recovered": 2,</w:t>
      </w:r>
      <w:r>
        <w:br/>
      </w:r>
      <w:r>
        <w:rPr>
          <w:rFonts w:ascii="Consolas" w:hAnsi="Consolas"/>
          <w:sz w:val="17"/>
        </w:rPr>
        <w:t xml:space="preserve">              "probability_rea": 1.12e-2, "probability_mcub": 1.11e-2 } }</w:t>
      </w:r>
    </w:p>
    <w:p>
      <w:pPr>
        <w:pStyle w:val="Heading2"/>
      </w:pPr>
      <w:r>
        <w:t>6.5 共享事件为何不能用乘积:数值复现</w:t>
      </w:r>
    </w:p>
    <w:p>
      <w:r>
        <w:t>§4.3 锚点的完整复现:屏障 F₁=OR(S,X₁)、F₂=OR(S,X₂),q 均 0.1。独立近似把 LL 序列算成</w:t>
        <w:br/>
        <w:t xml:space="preserve">  0.19×0.19=0.0361;精确 BDD 给 0.109 —— </w:t>
      </w:r>
      <w:r>
        <w:rPr>
          <w:b/>
        </w:rPr>
        <w:t>低估 3.0 倍</w:t>
      </w:r>
      <w:r>
        <w:rPr/>
        <w:t>。同一机制反向作用于"一成功一失败"</w:t>
        <w:br/>
        <w:t xml:space="preserve">  序列(独立近似高估)。任何含共享传感/电源/共因事件的 BESS 事件树都处在该误差暴露面上,</w:t>
        <w:br/>
        <w:t xml:space="preserve">  这正是"引擎精确量化"按钮存在的意义。</w:t>
      </w:r>
    </w:p>
    <w:p>
      <w:pPr>
        <w:pStyle w:val="Heading1"/>
      </w:pPr>
      <w:r>
        <w:t>7 数据分级与后果标尺</w:t>
      </w:r>
    </w:p>
    <w:p>
      <w:pPr>
        <w:spacing w:before="160"/>
      </w:pPr>
      <w:r>
        <w:rPr>
          <w:b/>
          <w:color w:val="66788C"/>
          <w:sz w:val="18"/>
        </w:rPr>
        <w:t>表 9</w:t>
      </w:r>
      <w:r>
        <w:rPr>
          <w:color w:val="66788C"/>
          <w:sz w:val="18"/>
        </w:rPr>
        <w:t xml:space="preserve"> · 数据置信分级(内置库仅 C/D;A/B 须项目层产生)</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E8EDF5"/>
          </w:tcPr>
          <w:p>
            <w:r>
              <w:rPr>
                <w:b/>
                <w:sz w:val="17"/>
              </w:rPr>
              <w:t>级</w:t>
            </w:r>
          </w:p>
        </w:tc>
        <w:tc>
          <w:tcPr>
            <w:tcW w:type="dxa" w:w="2493"/>
            <w:shd w:val="clear" w:fill="E8EDF5"/>
          </w:tcPr>
          <w:p>
            <w:r>
              <w:rPr>
                <w:b/>
                <w:sz w:val="17"/>
              </w:rPr>
              <w:t>含义</w:t>
            </w:r>
          </w:p>
        </w:tc>
        <w:tc>
          <w:tcPr>
            <w:tcW w:type="dxa" w:w="2493"/>
            <w:shd w:val="clear" w:fill="E8EDF5"/>
          </w:tcPr>
          <w:p>
            <w:r>
              <w:rPr>
                <w:b/>
                <w:sz w:val="17"/>
              </w:rPr>
              <w:t>产生途径</w:t>
            </w:r>
          </w:p>
        </w:tc>
        <w:tc>
          <w:tcPr>
            <w:tcW w:type="dxa" w:w="2493"/>
            <w:shd w:val="clear" w:fill="E8EDF5"/>
          </w:tcPr>
          <w:p>
            <w:r>
              <w:rPr>
                <w:b/>
                <w:sz w:val="17"/>
              </w:rPr>
              <w:t>报告处理</w:t>
            </w:r>
          </w:p>
        </w:tc>
      </w:tr>
      <w:tr>
        <w:tc>
          <w:tcPr>
            <w:tcW w:type="dxa" w:w="2493"/>
          </w:tcPr>
          <w:p>
            <w:r>
              <w:rPr>
                <w:sz w:val="17"/>
              </w:rPr>
              <w:t>A</w:t>
            </w:r>
          </w:p>
        </w:tc>
        <w:tc>
          <w:tcPr>
            <w:tcW w:type="dxa" w:w="2493"/>
          </w:tcPr>
          <w:p>
            <w:r>
              <w:rPr>
                <w:sz w:val="17"/>
              </w:rPr>
              <w:t>本项目实测/现场数据</w:t>
            </w:r>
          </w:p>
        </w:tc>
        <w:tc>
          <w:tcPr>
            <w:tcW w:type="dxa" w:w="2493"/>
          </w:tcPr>
          <w:p>
            <w:r>
              <w:rPr>
                <w:sz w:val="17"/>
              </w:rPr>
              <w:t>现场贝叶斯更新采用(§4.9)、项目试验</w:t>
            </w:r>
          </w:p>
        </w:tc>
        <w:tc>
          <w:tcPr>
            <w:tcW w:type="dxa" w:w="2493"/>
          </w:tcPr>
          <w:p>
            <w:r>
              <w:rPr>
                <w:sz w:val="17"/>
              </w:rPr>
              <w:t>直接可交付,证据链自动生成</w:t>
            </w:r>
          </w:p>
        </w:tc>
      </w:tr>
      <w:tr>
        <w:tc>
          <w:tcPr>
            <w:tcW w:type="dxa" w:w="2493"/>
          </w:tcPr>
          <w:p>
            <w:r>
              <w:rPr>
                <w:sz w:val="17"/>
              </w:rPr>
              <w:t>B</w:t>
            </w:r>
          </w:p>
        </w:tc>
        <w:tc>
          <w:tcPr>
            <w:tcW w:type="dxa" w:w="2493"/>
          </w:tcPr>
          <w:p>
            <w:r>
              <w:rPr>
                <w:sz w:val="17"/>
              </w:rPr>
              <w:t>同型设备厂商数据(经核)</w:t>
            </w:r>
          </w:p>
        </w:tc>
        <w:tc>
          <w:tcPr>
            <w:tcW w:type="dxa" w:w="2493"/>
          </w:tcPr>
          <w:p>
            <w:r>
              <w:rPr>
                <w:sz w:val="17"/>
              </w:rPr>
              <w:t>用户覆盖层录入并附厂商报告引文</w:t>
            </w:r>
          </w:p>
        </w:tc>
        <w:tc>
          <w:tcPr>
            <w:tcW w:type="dxa" w:w="2493"/>
          </w:tcPr>
          <w:p>
            <w:r>
              <w:rPr>
                <w:sz w:val="17"/>
              </w:rPr>
              <w:t>标注来源,需评审确认适用性</w:t>
            </w:r>
          </w:p>
        </w:tc>
      </w:tr>
      <w:tr>
        <w:tc>
          <w:tcPr>
            <w:tcW w:type="dxa" w:w="2493"/>
          </w:tcPr>
          <w:p>
            <w:r>
              <w:rPr>
                <w:sz w:val="17"/>
              </w:rPr>
              <w:t>C</w:t>
            </w:r>
          </w:p>
        </w:tc>
        <w:tc>
          <w:tcPr>
            <w:tcW w:type="dxa" w:w="2493"/>
          </w:tcPr>
          <w:p>
            <w:r>
              <w:rPr>
                <w:sz w:val="17"/>
              </w:rPr>
              <w:t>行业统计(EPRI/NFPA/标准)</w:t>
            </w:r>
          </w:p>
        </w:tc>
        <w:tc>
          <w:tcPr>
            <w:tcW w:type="dxa" w:w="2493"/>
          </w:tcPr>
          <w:p>
            <w:r>
              <w:rPr>
                <w:sz w:val="17"/>
              </w:rPr>
              <w:t>内置库(22 条)</w:t>
            </w:r>
          </w:p>
        </w:tc>
        <w:tc>
          <w:tcPr>
            <w:tcW w:type="dxa" w:w="2493"/>
          </w:tcPr>
          <w:p>
            <w:r>
              <w:rPr>
                <w:sz w:val="17"/>
              </w:rPr>
              <w:t>筛查可用;正式 QRA 建议升级</w:t>
            </w:r>
          </w:p>
        </w:tc>
      </w:tr>
      <w:tr>
        <w:tc>
          <w:tcPr>
            <w:tcW w:type="dxa" w:w="2493"/>
          </w:tcPr>
          <w:p>
            <w:r>
              <w:rPr>
                <w:sz w:val="17"/>
              </w:rPr>
              <w:t>D</w:t>
            </w:r>
          </w:p>
        </w:tc>
        <w:tc>
          <w:tcPr>
            <w:tcW w:type="dxa" w:w="2493"/>
          </w:tcPr>
          <w:p>
            <w:r>
              <w:rPr>
                <w:sz w:val="17"/>
              </w:rPr>
              <w:t>文献推断/类比/示例</w:t>
            </w:r>
          </w:p>
        </w:tc>
        <w:tc>
          <w:tcPr>
            <w:tcW w:type="dxa" w:w="2493"/>
          </w:tcPr>
          <w:p>
            <w:r>
              <w:rPr>
                <w:sz w:val="17"/>
              </w:rPr>
              <w:t>内置库(73 条)、AI 草案强制 D</w:t>
            </w:r>
          </w:p>
        </w:tc>
        <w:tc>
          <w:tcPr>
            <w:tcW w:type="dxa" w:w="2493"/>
          </w:tcPr>
          <w:p>
            <w:r>
              <w:rPr>
                <w:sz w:val="17"/>
              </w:rPr>
              <w:t>必须显式声明;不得冒充实测</w:t>
            </w:r>
          </w:p>
        </w:tc>
      </w:tr>
    </w:tbl>
    <w:p>
      <w:pPr>
        <w:spacing w:before="160"/>
      </w:pPr>
      <w:r>
        <w:rPr>
          <w:b/>
          <w:color w:val="66788C"/>
          <w:sz w:val="18"/>
        </w:rPr>
        <w:t>表 10</w:t>
      </w:r>
      <w:r>
        <w:rPr>
          <w:color w:val="66788C"/>
          <w:sz w:val="18"/>
        </w:rPr>
        <w:t xml:space="preserve"> · C1–C5 后果分级与中电联 6×5 矩阵映射(单位:频率 /yr;文字内涵可按项目改写)</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E8EDF5"/>
          </w:tcPr>
          <w:p>
            <w:r>
              <w:rPr>
                <w:b/>
                <w:sz w:val="17"/>
              </w:rPr>
              <w:t>级</w:t>
            </w:r>
          </w:p>
        </w:tc>
        <w:tc>
          <w:tcPr>
            <w:tcW w:type="dxa" w:w="2493"/>
            <w:shd w:val="clear" w:fill="E8EDF5"/>
          </w:tcPr>
          <w:p>
            <w:r>
              <w:rPr>
                <w:b/>
                <w:sz w:val="17"/>
              </w:rPr>
              <w:t>默认内涵</w:t>
            </w:r>
          </w:p>
        </w:tc>
        <w:tc>
          <w:tcPr>
            <w:tcW w:type="dxa" w:w="2493"/>
            <w:shd w:val="clear" w:fill="E8EDF5"/>
          </w:tcPr>
          <w:p>
            <w:r>
              <w:rPr>
                <w:b/>
                <w:sz w:val="17"/>
              </w:rPr>
              <w:t>严重度(中电联)</w:t>
            </w:r>
          </w:p>
        </w:tc>
        <w:tc>
          <w:tcPr>
            <w:tcW w:type="dxa" w:w="2493"/>
            <w:shd w:val="clear" w:fill="E8EDF5"/>
          </w:tcPr>
          <w:p>
            <w:r>
              <w:rPr>
                <w:b/>
                <w:sz w:val="17"/>
              </w:rPr>
              <w:t>典型物理状态</w:t>
            </w:r>
          </w:p>
        </w:tc>
      </w:tr>
      <w:tr>
        <w:tc>
          <w:tcPr>
            <w:tcW w:type="dxa" w:w="2493"/>
          </w:tcPr>
          <w:p>
            <w:r>
              <w:rPr>
                <w:b/>
                <w:sz w:val="17"/>
              </w:rPr>
              <w:t>C1</w:t>
            </w:r>
          </w:p>
        </w:tc>
        <w:tc>
          <w:tcPr>
            <w:tcW w:type="dxa" w:w="2493"/>
          </w:tcPr>
          <w:p>
            <w:r>
              <w:rPr>
                <w:sz w:val="17"/>
              </w:rPr>
              <w:t>单体安全排气</w:t>
            </w:r>
          </w:p>
        </w:tc>
        <w:tc>
          <w:tcPr>
            <w:tcW w:type="dxa" w:w="2493"/>
          </w:tcPr>
          <w:p>
            <w:r>
              <w:rPr>
                <w:sz w:val="17"/>
              </w:rPr>
              <w:t>0 级</w:t>
            </w:r>
          </w:p>
        </w:tc>
        <w:tc>
          <w:tcPr>
            <w:tcW w:type="dxa" w:w="2493"/>
          </w:tcPr>
          <w:p>
            <w:r>
              <w:rPr>
                <w:sz w:val="17"/>
              </w:rPr>
              <w:t>开阀排气,无蔓延</w:t>
            </w:r>
          </w:p>
        </w:tc>
      </w:tr>
      <w:tr>
        <w:tc>
          <w:tcPr>
            <w:tcW w:type="dxa" w:w="2493"/>
          </w:tcPr>
          <w:p>
            <w:r>
              <w:rPr>
                <w:b/>
                <w:sz w:val="17"/>
              </w:rPr>
              <w:t>C2</w:t>
            </w:r>
          </w:p>
        </w:tc>
        <w:tc>
          <w:tcPr>
            <w:tcW w:type="dxa" w:w="2493"/>
          </w:tcPr>
          <w:p>
            <w:r>
              <w:rPr>
                <w:sz w:val="17"/>
              </w:rPr>
              <w:t>模组内热蔓延/冒烟</w:t>
            </w:r>
          </w:p>
        </w:tc>
        <w:tc>
          <w:tcPr>
            <w:tcW w:type="dxa" w:w="2493"/>
          </w:tcPr>
          <w:p>
            <w:r>
              <w:rPr>
                <w:sz w:val="17"/>
              </w:rPr>
              <w:t>I</w:t>
            </w:r>
          </w:p>
        </w:tc>
        <w:tc>
          <w:tcPr>
            <w:tcW w:type="dxa" w:w="2493"/>
          </w:tcPr>
          <w:p>
            <w:r>
              <w:rPr>
                <w:sz w:val="17"/>
              </w:rPr>
              <w:t>可控热失控,冒烟</w:t>
            </w:r>
          </w:p>
        </w:tc>
      </w:tr>
      <w:tr>
        <w:tc>
          <w:tcPr>
            <w:tcW w:type="dxa" w:w="2493"/>
          </w:tcPr>
          <w:p>
            <w:r>
              <w:rPr>
                <w:b/>
                <w:sz w:val="17"/>
              </w:rPr>
              <w:t>C3</w:t>
            </w:r>
          </w:p>
        </w:tc>
        <w:tc>
          <w:tcPr>
            <w:tcW w:type="dxa" w:w="2493"/>
          </w:tcPr>
          <w:p>
            <w:r>
              <w:rPr>
                <w:sz w:val="17"/>
              </w:rPr>
              <w:t>Pack/簇级起火</w:t>
            </w:r>
          </w:p>
        </w:tc>
        <w:tc>
          <w:tcPr>
            <w:tcW w:type="dxa" w:w="2493"/>
          </w:tcPr>
          <w:p>
            <w:r>
              <w:rPr>
                <w:sz w:val="17"/>
              </w:rPr>
              <w:t>II</w:t>
            </w:r>
          </w:p>
        </w:tc>
        <w:tc>
          <w:tcPr>
            <w:tcW w:type="dxa" w:w="2493"/>
          </w:tcPr>
          <w:p>
            <w:r>
              <w:rPr>
                <w:sz w:val="17"/>
              </w:rPr>
              <w:t>局部火灾</w:t>
            </w:r>
          </w:p>
        </w:tc>
      </w:tr>
      <w:tr>
        <w:tc>
          <w:tcPr>
            <w:tcW w:type="dxa" w:w="2493"/>
          </w:tcPr>
          <w:p>
            <w:r>
              <w:rPr>
                <w:b/>
                <w:sz w:val="17"/>
              </w:rPr>
              <w:t>C4</w:t>
            </w:r>
          </w:p>
        </w:tc>
        <w:tc>
          <w:tcPr>
            <w:tcW w:type="dxa" w:w="2493"/>
          </w:tcPr>
          <w:p>
            <w:r>
              <w:rPr>
                <w:sz w:val="17"/>
              </w:rPr>
              <w:t>箱级起火蔓延</w:t>
            </w:r>
          </w:p>
        </w:tc>
        <w:tc>
          <w:tcPr>
            <w:tcW w:type="dxa" w:w="2493"/>
          </w:tcPr>
          <w:p>
            <w:r>
              <w:rPr>
                <w:sz w:val="17"/>
              </w:rPr>
              <w:t>III</w:t>
            </w:r>
          </w:p>
        </w:tc>
        <w:tc>
          <w:tcPr>
            <w:tcW w:type="dxa" w:w="2493"/>
          </w:tcPr>
          <w:p>
            <w:r>
              <w:rPr>
                <w:sz w:val="17"/>
              </w:rPr>
              <w:t>舱级火灾蔓延</w:t>
            </w:r>
          </w:p>
        </w:tc>
      </w:tr>
      <w:tr>
        <w:tc>
          <w:tcPr>
            <w:tcW w:type="dxa" w:w="2493"/>
          </w:tcPr>
          <w:p>
            <w:r>
              <w:rPr>
                <w:b/>
                <w:sz w:val="17"/>
              </w:rPr>
              <w:t>C5</w:t>
            </w:r>
          </w:p>
        </w:tc>
        <w:tc>
          <w:tcPr>
            <w:tcW w:type="dxa" w:w="2493"/>
          </w:tcPr>
          <w:p>
            <w:r>
              <w:rPr>
                <w:sz w:val="17"/>
              </w:rPr>
              <w:t>爆炸 + 毒气释放</w:t>
            </w:r>
          </w:p>
        </w:tc>
        <w:tc>
          <w:tcPr>
            <w:tcW w:type="dxa" w:w="2493"/>
          </w:tcPr>
          <w:p>
            <w:r>
              <w:rPr>
                <w:sz w:val="17"/>
              </w:rPr>
              <w:t>IV</w:t>
            </w:r>
          </w:p>
        </w:tc>
        <w:tc>
          <w:tcPr>
            <w:tcW w:type="dxa" w:w="2493"/>
          </w:tcPr>
          <w:p>
            <w:r>
              <w:rPr>
                <w:sz w:val="17"/>
              </w:rPr>
              <w:t>爆燃/爆炸,HF 等毒气</w:t>
            </w:r>
          </w:p>
        </w:tc>
      </w:tr>
    </w:tbl>
    <w:tbl>
      <w:tblPr>
        <w:tblStyle w:val="TableGrid"/>
        <w:tblW w:type="auto" w:w="0"/>
        <w:tblLook w:firstColumn="1" w:firstRow="1" w:lastColumn="0" w:lastRow="0" w:noHBand="0" w:noVBand="1" w:val="04A0"/>
      </w:tblPr>
      <w:tblGrid>
        <w:gridCol w:w="9972"/>
      </w:tblGrid>
      <w:tr>
        <w:tc>
          <w:tcPr>
            <w:tcW w:type="dxa" w:w="9972"/>
            <w:shd w:val="clear" w:fill="FCF3E3"/>
          </w:tcPr>
          <w:p>
            <w:r>
              <w:rPr>
                <w:b/>
                <w:sz w:val="19"/>
              </w:rPr>
              <w:t>单位纪律。</w:t>
            </w:r>
            <w:r>
              <w:rPr>
                <w:sz w:val="19"/>
              </w:rPr>
              <w:t>失效率单位是承载语义的:</w:t>
            </w:r>
            <w:r>
              <w:rPr>
                <w:rFonts w:ascii="Consolas" w:hAnsi="Consolas"/>
                <w:sz w:val="19"/>
              </w:rPr>
              <w:t>/cell·yr</w:t>
            </w:r>
            <w:r>
              <w:rPr>
                <w:sz w:val="19"/>
              </w:rPr>
              <w:t>(电芯级)、</w:t>
              <w:br/>
              <w:t xml:space="preserve">  </w:t>
            </w:r>
            <w:r>
              <w:rPr>
                <w:rFonts w:ascii="Consolas" w:hAnsi="Consolas"/>
                <w:sz w:val="19"/>
              </w:rPr>
              <w:t>/unit·yr</w:t>
            </w:r>
            <w:r>
              <w:rPr>
                <w:sz w:val="19"/>
              </w:rPr>
              <w:t>(设备级)、</w:t>
            </w:r>
            <w:r>
              <w:rPr>
                <w:rFonts w:ascii="Consolas" w:hAnsi="Consolas"/>
                <w:sz w:val="19"/>
              </w:rPr>
              <w:t>/demand</w:t>
            </w:r>
            <w:r>
              <w:rPr>
                <w:sz w:val="19"/>
              </w:rPr>
              <w:t>(按需 PFD)绝不静默换算;初因频率 canonical</w:t>
              <w:br/>
              <w:t xml:space="preserve">  口径为</w:t>
            </w:r>
            <w:r>
              <w:rPr>
                <w:b/>
                <w:sz w:val="19"/>
              </w:rPr>
              <w:t>舱级</w:t>
            </w:r>
            <w:r>
              <w:rPr>
                <w:sz w:val="19"/>
              </w:rPr>
              <w:t>(</w:t>
            </w:r>
            <w:r>
              <w:rPr>
                <w:rFonts w:ascii="Consolas" w:hAnsi="Consolas"/>
                <w:sz w:val="19"/>
              </w:rPr>
              <w:t>/unit·yr</w:t>
            </w:r>
            <w:r>
              <w:rPr>
                <w:sz w:val="19"/>
              </w:rPr>
              <w:t>,舱 = 事件树演化单元;裁决</w:t>
              <w:br/>
              <w:t xml:space="preserve">  2026-07-14),站级/系统级数字属项目层换算,「×/÷电芯数折算」只允许显式出现在推导注记里。</w:t>
              <w:br/>
              <w:t xml:space="preserve">  库内每条数据 = 值 + 单位 + 分级 + 引文 +</w:t>
              <w:br/>
              <w:t xml:space="preserve">  (可选)探测维度;5 条初因频率条目全部带推导链。系统级↔舱级换算必须显式(电芯数维度),电芯派生的舱级值隐含 cells/舱 假设(库锚定 1×10⁴),跨产品体系引用须按实际 cells/舱 重算。</w:t>
            </w:r>
          </w:p>
        </w:tc>
      </w:tr>
    </w:tbl>
    <w:p>
      <w:pPr>
        <w:spacing w:after="0"/>
      </w:pPr>
    </w:p>
    <w:p>
      <w:pPr>
        <w:pStyle w:val="Heading1"/>
      </w:pPr>
      <w:r>
        <w:t>8 文献综述</w:t>
      </w:r>
    </w:p>
    <w:p>
      <w:pPr>
        <w:pStyle w:val="Heading2"/>
      </w:pPr>
      <w:r>
        <w:t>8.1 方法学基础:从割集到决策图</w:t>
      </w:r>
    </w:p>
    <w:p>
      <w:r>
        <w:t>故障树定量的第一代方法围绕最小割集:Fussell 的 MOCUS 自顶向下展开</w:t>
      </w:r>
      <w:r>
        <w:rPr>
          <w:vertAlign w:val="superscript"/>
        </w:rPr>
        <w:t>[3]</w:t>
      </w:r>
      <w:r>
        <w:rPr/>
        <w:br/>
        <w:t xml:space="preserve">  确立了 MCS 作为工程语言的地位,NUREG-0492《Fault Tree Handbook》</w:t>
      </w:r>
      <w:r>
        <w:rPr>
          <w:vertAlign w:val="superscript"/>
        </w:rPr>
        <w:t>[4]</w:t>
      </w:r>
      <w:r>
        <w:rPr/>
        <w:br/>
        <w:t xml:space="preserve">  将其规范化;概率则依赖稀有事件/最小割集上界近似。范式转移来自 Bryant 的 ROBDD 规范型</w:t>
        <w:br/>
        <w:t xml:space="preserve">  </w:t>
      </w:r>
      <w:r>
        <w:rPr>
          <w:vertAlign w:val="superscript"/>
        </w:rPr>
        <w:t>[1]</w:t>
      </w:r>
      <w:r>
        <w:rPr/>
        <w:t>与 Rauzy 把 BDD 引入故障树</w:t>
        <w:br/>
        <w:t xml:space="preserve">  </w:t>
      </w:r>
      <w:r>
        <w:rPr>
          <w:vertAlign w:val="superscript"/>
        </w:rPr>
        <w:t>[2]</w:t>
      </w:r>
      <w:r>
        <w:rPr/>
        <w:t>:布尔函数获得唯一表示,顶事件概率一次遍历精确可得,</w:t>
        <w:br/>
        <w:t xml:space="preserve">  非相干逻辑(素蕴涵项)也纳入统一框架。Dutuit–Rauzy 线性模块化</w:t>
      </w:r>
      <w:r>
        <w:rPr>
          <w:vertAlign w:val="superscript"/>
        </w:rPr>
        <w:t>[7]</w:t>
      </w:r>
      <w:r>
        <w:rPr/>
        <w:br/>
        <w:t xml:space="preserve">  与后续 ZBDD 割集技术补齐了大模型工程通道;近年形式化方法社区的再评估(“BDDs Strike Back”</w:t>
        <w:br/>
        <w:t xml:space="preserve">  </w:t>
      </w:r>
      <w:r>
        <w:rPr>
          <w:vertAlign w:val="superscript"/>
        </w:rPr>
        <w:t>[8]</w:t>
      </w:r>
      <w:r>
        <w:rPr/>
        <w:t>)确认 BDD 在静态故障树上仍是精度/性能的标杆。</w:t>
        <w:br/>
        <w:t xml:space="preserve">  商用侧,RiskSpectrum 的 MCS-BDD 混合算法(PSAM 系列论文</w:t>
      </w:r>
      <w:r>
        <w:rPr>
          <w:vertAlign w:val="superscript"/>
        </w:rPr>
        <w:t>[9]</w:t>
      </w:r>
      <w:r>
        <w:rPr/>
        <w:t>)</w:t>
        <w:br/>
        <w:t xml:space="preserve">  代表"以 MCS 为主、BDD 校准"的路线;本工具反其道:</w:t>
      </w:r>
      <w:r>
        <w:rPr>
          <w:b/>
        </w:rPr>
        <w:t>BDD 为一等公民,MCS 为工程视图</w:t>
      </w:r>
      <w:r>
        <w:rPr/>
        <w:t>。</w:t>
        <w:br/>
        <w:t xml:space="preserve">  互操作层面,Open-PSA 模型交换格式(MEF)</w:t>
      </w:r>
      <w:r>
        <w:rPr>
          <w:vertAlign w:val="superscript"/>
        </w:rPr>
        <w:t>[10]</w:t>
      </w:r>
      <w:r>
        <w:rPr/>
        <w:t>是</w:t>
        <w:br/>
        <w:t xml:space="preserve">  跨工具语料与基准(XFTA/SCRAM/SAPHSOLVE 对比研究</w:t>
      </w:r>
      <w:r>
        <w:rPr>
          <w:vertAlign w:val="superscript"/>
        </w:rPr>
        <w:t>[14]</w:t>
      </w:r>
      <w:r>
        <w:rPr/>
        <w:t>)的通用底座。</w:t>
      </w:r>
    </w:p>
    <w:p>
      <w:r>
        <w:t>共因失效参数模型的权威源是 NUREG/CR-5485</w:t>
      </w:r>
      <w:r>
        <w:rPr>
          <w:vertAlign w:val="superscript"/>
        </w:rPr>
        <w:t>[5]</w:t>
      </w:r>
      <w:r>
        <w:rPr/>
        <w:br/>
        <w:t xml:space="preserve">  (β/MGL/α/φ,错峰与非错峰检验方案)——本工具公式与 SCRAM 实现逐式核对(§4.4)。</w:t>
      </w:r>
    </w:p>
    <w:p>
      <w:pPr>
        <w:pStyle w:val="Heading2"/>
      </w:pPr>
      <w:r>
        <w:t>8.2 BESS 安全域</w:t>
      </w:r>
    </w:p>
    <w:p>
      <w:r>
        <w:t>事实基线:EPRI 储能失效事件数据库及其 2024 白皮书</w:t>
      </w:r>
      <w:r>
        <w:rPr>
          <w:vertAlign w:val="superscript"/>
        </w:rPr>
        <w:t>[12]</w:t>
      </w:r>
      <w:r>
        <w:rPr/>
        <w:br/>
        <w:t xml:space="preserve">  (81 起事件、26 起可归因;单位容量失效率 2018→2025 下降约 97–99%;根因重心从电芯缺陷转向</w:t>
        <w:br/>
        <w:t xml:space="preserve">  </w:t>
      </w:r>
      <w:r>
        <w:rPr>
          <w:b/>
        </w:rPr>
        <w:t>集成与运行阶段</w:t>
      </w:r>
      <w:r>
        <w:rPr/>
        <w:t>缺口,与 PNNL/TWAICE 联合分析一致)。事故解剖学的标杆是 DNV 的</w:t>
        <w:br/>
        <w:t xml:space="preserve">  McMicken 技术分析</w:t>
      </w:r>
      <w:r>
        <w:rPr>
          <w:vertAlign w:val="superscript"/>
        </w:rPr>
        <w:t>[11]</w:t>
      </w:r>
      <w:r>
        <w:rPr/>
        <w:t>(串级五重屏障缺失:热障、灭火剂</w:t>
        <w:br/>
        <w:t xml:space="preserve">  对 TR 无效、无泄爆、开门引气)——本工具将其编码为可反事实检验的预置模板(§6.2)。2025-01 Moss Landing</w:t>
        <w:br/>
        <w:t xml:space="preserve">  事件再次抬升监管关注度。标准框架:UL 9540A(单元级蔓延测试)、NFPA 855/68/69(选址/泄爆/防爆)、</w:t>
        <w:br/>
        <w:t xml:space="preserve">  IEC 62933-5-2 与 62619(系统/电芯安全)、GB/T 36276 等;探测窗口的实证研究(Sandia 离气/VOC 传感,</w:t>
        <w:br/>
        <w:t xml:space="preserve">  JES 2024</w:t>
      </w:r>
      <w:r>
        <w:rPr>
          <w:vertAlign w:val="superscript"/>
        </w:rPr>
        <w:t>[13]</w:t>
      </w:r>
      <w:r>
        <w:rPr/>
        <w:t>)支撑预警屏障 PFD 取值。学术侧</w:t>
        <w:br/>
        <w:t xml:space="preserve">  2024–25 的代表方向是 FTA/ETA 与模糊贝叶斯网络、多尺度风险框架的组合</w:t>
        <w:br/>
        <w:t xml:space="preserve">  </w:t>
      </w:r>
      <w:r>
        <w:rPr>
          <w:vertAlign w:val="superscript"/>
        </w:rPr>
        <w:t>[15]</w:t>
      </w:r>
      <w:r>
        <w:rPr/>
        <w:t>——共同短板是数据分级与可追溯性弱,恰是本工具</w:t>
        <w:br/>
        <w:t xml:space="preserve">  以证据链机制正面回应的问题。</w:t>
      </w:r>
    </w:p>
    <w:p>
      <w:pPr>
        <w:pStyle w:val="Heading2"/>
      </w:pPr>
      <w:r>
        <w:t>8.3 AI × PRA</w:t>
      </w:r>
    </w:p>
    <w:p>
      <w:r>
        <w:t>生成式模型进入 PRA 的文献仍在早期:综述与立场论文(如 arXiv:2406.01133</w:t>
        <w:br/>
        <w:t xml:space="preserve">  </w:t>
      </w:r>
      <w:r>
        <w:rPr>
          <w:vertAlign w:val="superscript"/>
        </w:rPr>
        <w:t>[16]</w:t>
      </w:r>
      <w:r>
        <w:rPr/>
        <w:t>)划定"受控使用"条件;FTA 副驾驶研究</w:t>
        <w:br/>
        <w:t xml:space="preserve">  </w:t>
      </w:r>
      <w:r>
        <w:rPr>
          <w:vertAlign w:val="superscript"/>
        </w:rPr>
        <w:t>[17]</w:t>
      </w:r>
      <w:r>
        <w:rPr/>
        <w:t xml:space="preserve">一致结论是 </w:t>
      </w:r>
      <w:r>
        <w:rPr>
          <w:b/>
        </w:rPr>
        <w:t>LLM 提议、人类裁决</w:t>
      </w:r>
      <w:r>
        <w:rPr/>
        <w:br/>
        <w:t xml:space="preserve">  ——不让模型直接产出可信数字。基准(JFTA-Bench)与风险分析期刊的实证(LLM 做发散性 FMEA 头脑风暴有效、</w:t>
        <w:br/>
        <w:t xml:space="preserve">  数值判断不可靠)同向。本工具的 ADR-3 管线把这些原则工程化:检索接地强制数值有出处、确定性校验门</w:t>
        <w:br/>
        <w:t xml:space="preserve">  (含引擎试运行)把关结构可算性、幽灵差异保证人是唯一提交者、金例评测门管控模型/提示词升级——</w:t>
        <w:br/>
        <w:t xml:space="preserve">  据我们所知,这是 BESS QRA 场景下首个把「AI 草案不可信」作为架构前提而非免责声明的实现。</w:t>
      </w:r>
    </w:p>
    <w:p>
      <w:pPr>
        <w:pStyle w:val="Heading2"/>
      </w:pPr>
      <w:r>
        <w:t>8.4 AI 生成 FTA/ETA:SOTA 方法的输入需求调研</w:t>
      </w:r>
    </w:p>
    <w:p>
      <w:r>
        <w:t>"自动生成故障树/事件树"存在两条成熟度截然不同的路线,其</w:t>
      </w:r>
      <w:r>
        <w:rPr>
          <w:b/>
        </w:rPr>
        <w:t>输入需求</w:t>
      </w:r>
      <w:r>
        <w:rPr/>
        <w:t>构成一个从重到轻的</w:t>
        <w:br/>
        <w:t xml:space="preserve">  谱系——工具选型的第一个问题不是"生成质量多高",而是"你手上有什么可以喂给它":</w:t>
      </w:r>
    </w:p>
    <w:p>
      <w:pPr>
        <w:spacing w:before="160"/>
      </w:pPr>
      <w:r>
        <w:rPr>
          <w:b/>
          <w:color w:val="66788C"/>
          <w:sz w:val="18"/>
        </w:rPr>
        <w:t>表 11</w:t>
      </w:r>
      <w:r>
        <w:rPr>
          <w:color w:val="66788C"/>
          <w:sz w:val="18"/>
        </w:rPr>
        <w:t xml:space="preserve"> · 自动/AI 生成 FTA-ETA 的代表性方法与输入需求(2026-07 调研)</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E8EDF5"/>
          </w:tcPr>
          <w:p>
            <w:r>
              <w:rPr>
                <w:b/>
                <w:sz w:val="17"/>
              </w:rPr>
              <w:t>路线 / 代表</w:t>
            </w:r>
          </w:p>
        </w:tc>
        <w:tc>
          <w:tcPr>
            <w:tcW w:type="dxa" w:w="2493"/>
            <w:shd w:val="clear" w:fill="E8EDF5"/>
          </w:tcPr>
          <w:p>
            <w:r>
              <w:rPr>
                <w:b/>
                <w:sz w:val="17"/>
              </w:rPr>
              <w:t>必需输入</w:t>
            </w:r>
          </w:p>
        </w:tc>
        <w:tc>
          <w:tcPr>
            <w:tcW w:type="dxa" w:w="2493"/>
            <w:shd w:val="clear" w:fill="E8EDF5"/>
          </w:tcPr>
          <w:p>
            <w:r>
              <w:rPr>
                <w:b/>
                <w:sz w:val="17"/>
              </w:rPr>
              <w:t>输出</w:t>
            </w:r>
          </w:p>
        </w:tc>
        <w:tc>
          <w:tcPr>
            <w:tcW w:type="dxa" w:w="2493"/>
            <w:shd w:val="clear" w:fill="E8EDF5"/>
          </w:tcPr>
          <w:p>
            <w:r>
              <w:rPr>
                <w:b/>
                <w:sz w:val="17"/>
              </w:rPr>
              <w:t>特性与边界</w:t>
            </w:r>
          </w:p>
        </w:tc>
      </w:tr>
      <w:tr>
        <w:tc>
          <w:tcPr>
            <w:tcW w:type="dxa" w:w="2493"/>
          </w:tcPr>
          <w:p>
            <w:r>
              <w:rPr>
                <w:b/>
                <w:sz w:val="17"/>
              </w:rPr>
              <w:t>MBSA · HiP-HOPS</w:t>
            </w:r>
            <w:r>
              <w:rPr>
                <w:sz w:val="17"/>
                <w:vertAlign w:val="superscript"/>
              </w:rPr>
              <w:t>[22]</w:t>
            </w:r>
          </w:p>
        </w:tc>
        <w:tc>
          <w:tcPr>
            <w:tcW w:type="dxa" w:w="2493"/>
          </w:tcPr>
          <w:p>
            <w:r>
              <w:rPr>
                <w:sz w:val="17"/>
              </w:rPr>
              <w:t xml:space="preserve">系统架构模型(组件拓扑)+ </w:t>
            </w:r>
            <w:r>
              <w:rPr>
                <w:b/>
                <w:sz w:val="17"/>
              </w:rPr>
              <w:t>逐组件失效注记</w:t>
            </w:r>
            <w:r>
              <w:rPr>
                <w:sz w:val="17"/>
              </w:rPr>
              <w:t>(输入偏差→输出偏差的局部失效逻辑)</w:t>
            </w:r>
          </w:p>
        </w:tc>
        <w:tc>
          <w:tcPr>
            <w:tcW w:type="dxa" w:w="2493"/>
          </w:tcPr>
          <w:p>
            <w:r>
              <w:rPr>
                <w:sz w:val="17"/>
              </w:rPr>
              <w:t>自动合成的系统级故障树 + FMEA</w:t>
            </w:r>
          </w:p>
        </w:tc>
        <w:tc>
          <w:tcPr>
            <w:tcW w:type="dxa" w:w="2493"/>
          </w:tcPr>
          <w:p>
            <w:r>
              <w:rPr>
                <w:sz w:val="17"/>
              </w:rPr>
              <w:t>确定性、可重复、可认证语境;前置建模投入大,注记质量决定一切</w:t>
            </w:r>
          </w:p>
        </w:tc>
      </w:tr>
      <w:tr>
        <w:tc>
          <w:tcPr>
            <w:tcW w:type="dxa" w:w="2493"/>
          </w:tcPr>
          <w:p>
            <w:r>
              <w:rPr>
                <w:b/>
                <w:sz w:val="17"/>
              </w:rPr>
              <w:t>MBSA · AltaRica 3.0</w:t>
            </w:r>
            <w:r>
              <w:rPr>
                <w:sz w:val="17"/>
                <w:vertAlign w:val="superscript"/>
              </w:rPr>
              <w:t>[23]</w:t>
            </w:r>
          </w:p>
        </w:tc>
        <w:tc>
          <w:tcPr>
            <w:tcW w:type="dxa" w:w="2493"/>
          </w:tcPr>
          <w:p>
            <w:r>
              <w:rPr>
                <w:sz w:val="17"/>
              </w:rPr>
              <w:t>专用语言书写的系统</w:t>
            </w:r>
            <w:r>
              <w:rPr>
                <w:b/>
                <w:sz w:val="17"/>
              </w:rPr>
              <w:t>行为模型</w:t>
            </w:r>
            <w:r>
              <w:rPr>
                <w:sz w:val="17"/>
              </w:rPr>
              <w:t>(状态机 + 流传播)</w:t>
            </w:r>
          </w:p>
        </w:tc>
        <w:tc>
          <w:tcPr>
            <w:tcW w:type="dxa" w:w="2493"/>
          </w:tcPr>
          <w:p>
            <w:r>
              <w:rPr>
                <w:sz w:val="17"/>
              </w:rPr>
              <w:t>编译出故障树 / Markov 链等分析模型</w:t>
            </w:r>
          </w:p>
        </w:tc>
        <w:tc>
          <w:tcPr>
            <w:tcW w:type="dxa" w:w="2493"/>
          </w:tcPr>
          <w:p>
            <w:r>
              <w:rPr>
                <w:sz w:val="17"/>
              </w:rPr>
              <w:t>表达力最强(动态、重构);语言门槛高,航空/铁路侧应用为主</w:t>
            </w:r>
          </w:p>
        </w:tc>
      </w:tr>
      <w:tr>
        <w:tc>
          <w:tcPr>
            <w:tcW w:type="dxa" w:w="2493"/>
          </w:tcPr>
          <w:p>
            <w:r>
              <w:rPr>
                <w:b/>
                <w:sz w:val="17"/>
              </w:rPr>
              <w:t>LLM 文本驱动 · FTA 副驾驶</w:t>
            </w:r>
            <w:r>
              <w:rPr>
                <w:sz w:val="17"/>
                <w:vertAlign w:val="superscript"/>
              </w:rPr>
              <w:t>[17]</w:t>
            </w:r>
            <w:r>
              <w:rPr>
                <w:sz w:val="17"/>
                <w:vertAlign w:val="superscript"/>
              </w:rPr>
              <w:t xml:space="preserve"> </w:t>
            </w:r>
            <w:r>
              <w:rPr>
                <w:sz w:val="17"/>
                <w:vertAlign w:val="superscript"/>
              </w:rPr>
              <w:t>[24]</w:t>
            </w:r>
          </w:p>
        </w:tc>
        <w:tc>
          <w:tcPr>
            <w:tcW w:type="dxa" w:w="2493"/>
          </w:tcPr>
          <w:p>
            <w:r>
              <w:rPr>
                <w:b/>
                <w:sz w:val="17"/>
              </w:rPr>
              <w:t>自然语言系统描述 + 危害/顶事件定义</w:t>
            </w:r>
            <w:r>
              <w:rPr>
                <w:sz w:val="17"/>
              </w:rPr>
              <w:t>(可选:设计文档、FMEA 表、事故报告)</w:t>
            </w:r>
          </w:p>
        </w:tc>
        <w:tc>
          <w:tcPr>
            <w:tcW w:type="dxa" w:w="2493"/>
          </w:tcPr>
          <w:p>
            <w:r>
              <w:rPr>
                <w:sz w:val="17"/>
              </w:rPr>
              <w:t>故障树草案(结构与事件建议)</w:t>
            </w:r>
          </w:p>
        </w:tc>
        <w:tc>
          <w:tcPr>
            <w:tcW w:type="dxa" w:w="2493"/>
          </w:tcPr>
          <w:p>
            <w:r>
              <w:rPr>
                <w:sz w:val="17"/>
              </w:rPr>
              <w:t>输入门槛最低;一致结论 = LLM 提议、人裁决,</w:t>
            </w:r>
            <w:r>
              <w:rPr>
                <w:b/>
                <w:sz w:val="17"/>
              </w:rPr>
              <w:t>数值不可信</w:t>
            </w:r>
            <w:r>
              <w:rPr>
                <w:sz w:val="17"/>
              </w:rPr>
              <w:t>;结构需领域审查</w:t>
            </w:r>
          </w:p>
        </w:tc>
      </w:tr>
      <w:tr>
        <w:tc>
          <w:tcPr>
            <w:tcW w:type="dxa" w:w="2493"/>
          </w:tcPr>
          <w:p>
            <w:r>
              <w:rPr>
                <w:b/>
                <w:sz w:val="17"/>
              </w:rPr>
              <w:t>LLM · FMEA 增强</w:t>
            </w:r>
            <w:r>
              <w:rPr>
                <w:sz w:val="17"/>
                <w:vertAlign w:val="superscript"/>
              </w:rPr>
              <w:t>[25]</w:t>
            </w:r>
          </w:p>
        </w:tc>
        <w:tc>
          <w:tcPr>
            <w:tcW w:type="dxa" w:w="2493"/>
          </w:tcPr>
          <w:p>
            <w:r>
              <w:rPr>
                <w:sz w:val="17"/>
              </w:rPr>
              <w:t>功能描述 / 设计文档(+本体约束)</w:t>
            </w:r>
          </w:p>
        </w:tc>
        <w:tc>
          <w:tcPr>
            <w:tcW w:type="dxa" w:w="2493"/>
          </w:tcPr>
          <w:p>
            <w:r>
              <w:rPr>
                <w:sz w:val="17"/>
              </w:rPr>
              <w:t>FMEA 行(失效模式/影响/建议)</w:t>
            </w:r>
          </w:p>
        </w:tc>
        <w:tc>
          <w:tcPr>
            <w:tcW w:type="dxa" w:w="2493"/>
          </w:tcPr>
          <w:p>
            <w:r>
              <w:rPr>
                <w:sz w:val="17"/>
              </w:rPr>
              <w:t>发散性头脑风暴有效;向 ETA 屏障清单的转化仍是人工步骤</w:t>
            </w:r>
          </w:p>
        </w:tc>
      </w:tr>
      <w:tr>
        <w:tc>
          <w:tcPr>
            <w:tcW w:type="dxa" w:w="2493"/>
          </w:tcPr>
          <w:p>
            <w:r>
              <w:rPr>
                <w:b/>
                <w:sz w:val="17"/>
              </w:rPr>
              <w:t>评测基准 · JFTA-Bench</w:t>
            </w:r>
            <w:r>
              <w:rPr>
                <w:sz w:val="17"/>
                <w:vertAlign w:val="superscript"/>
              </w:rPr>
              <w:t>[26]</w:t>
            </w:r>
          </w:p>
        </w:tc>
        <w:tc>
          <w:tcPr>
            <w:tcW w:type="dxa" w:w="2493"/>
          </w:tcPr>
          <w:p>
            <w:r>
              <w:rPr>
                <w:sz w:val="17"/>
              </w:rPr>
              <w:t>既有故障树 + 故障场景/日志</w:t>
            </w:r>
          </w:p>
        </w:tc>
        <w:tc>
          <w:tcPr>
            <w:tcW w:type="dxa" w:w="2493"/>
          </w:tcPr>
          <w:p>
            <w:r>
              <w:rPr>
                <w:sz w:val="17"/>
              </w:rPr>
              <w:t>LLM 读树/析障能力评分</w:t>
            </w:r>
          </w:p>
        </w:tc>
        <w:tc>
          <w:tcPr>
            <w:tcW w:type="dxa" w:w="2493"/>
          </w:tcPr>
          <w:p>
            <w:r>
              <w:rPr>
                <w:sz w:val="17"/>
              </w:rPr>
              <w:t>评估"理解"而非"生成"——生成侧尚无公认基准</w:t>
            </w:r>
          </w:p>
        </w:tc>
      </w:tr>
      <w:tr>
        <w:tc>
          <w:tcPr>
            <w:tcW w:type="dxa" w:w="2493"/>
          </w:tcPr>
          <w:p>
            <w:r>
              <w:rPr>
                <w:b/>
                <w:sz w:val="17"/>
              </w:rPr>
              <w:t>本工具 · ADR-3 管线</w:t>
            </w:r>
            <w:r>
              <w:rPr>
                <w:sz w:val="17"/>
              </w:rPr>
              <w:t>(§4.12)</w:t>
            </w:r>
          </w:p>
        </w:tc>
        <w:tc>
          <w:tcPr>
            <w:tcW w:type="dxa" w:w="2493"/>
          </w:tcPr>
          <w:p>
            <w:r>
              <w:rPr>
                <w:b/>
                <w:sz w:val="17"/>
              </w:rPr>
              <w:t>一句话目标</w:t>
            </w:r>
            <w:r>
              <w:rPr>
                <w:sz w:val="17"/>
              </w:rPr>
              <w:t xml:space="preserve"> + 项目上下文(自动)+ 分级参考库(检索接地,自动)</w:t>
            </w:r>
          </w:p>
        </w:tc>
        <w:tc>
          <w:tcPr>
            <w:tcW w:type="dxa" w:w="2493"/>
          </w:tcPr>
          <w:p>
            <w:r>
              <w:rPr>
                <w:sz w:val="17"/>
              </w:rPr>
              <w:t>ETA / FTA 草案,经「schema→域 lint→</w:t>
            </w:r>
            <w:r>
              <w:rPr>
                <w:b/>
                <w:sz w:val="17"/>
              </w:rPr>
              <w:t>引擎试运行</w:t>
            </w:r>
            <w:r>
              <w:rPr>
                <w:sz w:val="17"/>
              </w:rPr>
              <w:t>」硬门,ghost-diff 逐元素人审</w:t>
            </w:r>
          </w:p>
        </w:tc>
        <w:tc>
          <w:tcPr>
            <w:tcW w:type="dxa" w:w="2493"/>
          </w:tcPr>
          <w:p>
            <w:r>
              <w:rPr>
                <w:sz w:val="17"/>
              </w:rPr>
              <w:t xml:space="preserve">轻输入 + 强校验:数值强制 </w:t>
            </w:r>
            <w:r>
              <w:rPr>
                <w:rFonts w:ascii="Consolas" w:hAnsi="Consolas"/>
                <w:sz w:val="17"/>
              </w:rPr>
              <w:t>library_ref</w:t>
            </w:r>
            <w:r>
              <w:rPr>
                <w:sz w:val="17"/>
              </w:rPr>
              <w:t>/</w:t>
            </w:r>
            <w:r>
              <w:rPr>
                <w:rFonts w:ascii="Consolas" w:hAnsi="Consolas"/>
                <w:sz w:val="17"/>
              </w:rPr>
              <w:t>ungrounded</w:t>
            </w:r>
            <w:r>
              <w:rPr>
                <w:sz w:val="17"/>
              </w:rPr>
              <w:t xml:space="preserve"> 二选一、</w:t>
              <w:br/>
              <w:t xml:space="preserve">          恒 D 级;不可量化结构无法通过管线</w:t>
            </w:r>
          </w:p>
        </w:tc>
      </w:tr>
    </w:tbl>
    <w:p>
      <w:r>
        <w:rPr>
          <w:b/>
        </w:rPr>
        <w:t>调研结论。</w:t>
      </w:r>
      <w:r>
        <w:rPr/>
        <w:t>① 输入谱系两极分明:MBSA 要完整工程模型(重前置、确定性输出),</w:t>
        <w:br/>
        <w:t xml:space="preserve">  LLM 路线只要文本(零前置、输出需裁决)——中间地带(半结构化输入 + 确定性校验)是空档,本工具的</w:t>
        <w:br/>
        <w:t xml:space="preserve">  「轻输入 + 引擎试运行硬门 + 检索接地」正落位于此;② </w:t>
      </w:r>
      <w:r>
        <w:rPr>
          <w:b/>
        </w:rPr>
        <w:t>事件树生成侧 SOTA 显著稀薄</w:t>
      </w:r>
      <w:r>
        <w:rPr/>
        <w:t>:</w:t>
        <w:br/>
        <w:t xml:space="preserve">  MBSA 家族面向故障树/FMEA 合成,LLM 文献集中在 FTA、FMEA 与 HAZOP,面向 ETA 的端到端生成</w:t>
        <w:br/>
        <w:t xml:space="preserve">  (含后果分级与频率量纲)未见成熟工具——本工具的 ETA 草案 + 序列量化闭环在该空档内;</w:t>
        <w:br/>
        <w:t xml:space="preserve">  ③ 全部 LLM 文献与我们的 ADR-3 同一底线:</w:t>
      </w:r>
      <w:r>
        <w:rPr>
          <w:b/>
        </w:rPr>
        <w:t>生成物是提案不是结论</w:t>
      </w:r>
      <w:r>
        <w:rPr/>
        <w:t>,</w:t>
        <w:br/>
        <w:t xml:space="preserve">  数值出处与人工裁决是不可省略的架构组件,而非免责声明。</w:t>
      </w:r>
    </w:p>
    <w:p>
      <w:pPr>
        <w:pStyle w:val="Heading1"/>
      </w:pPr>
      <w:r>
        <w:t>9 SOTA 工具对比</w:t>
      </w:r>
    </w:p>
    <w:p>
      <w:r>
        <w:t>对比对象:核工业三大主流(RiskSpectrum、SAPHIRE、CAFTA)、跨行业可靠性套件</w:t>
        <w:br/>
        <w:t xml:space="preserve">  </w:t>
      </w:r>
      <w:r>
        <w:rPr>
          <w:b/>
        </w:rPr>
        <w:t>Isograph FaultTree+</w:t>
      </w:r>
      <w:r>
        <w:rPr/>
        <w:t>(Reliability Workbench,航空/轨道/国防装备侧主力)、</w:t>
        <w:br/>
        <w:t xml:space="preserve">  开放生态两件(XFTA、SCRAM)与 FinPSA。信息来自公开资料与基准研究</w:t>
      </w:r>
      <w:r>
        <w:rPr>
          <w:vertAlign w:val="superscript"/>
        </w:rPr>
        <w:t>[18]</w:t>
      </w:r>
      <w:r>
        <w:rPr>
          <w:vertAlign w:val="superscript"/>
        </w:rPr>
        <w:br/>
        <w:t xml:space="preserve">  </w:t>
      </w:r>
      <w:r>
        <w:rPr>
          <w:vertAlign w:val="superscript"/>
        </w:rPr>
        <w:t>[19]</w:t>
      </w:r>
      <w:r>
        <w:rPr>
          <w:vertAlign w:val="superscript"/>
        </w:rPr>
        <w:t xml:space="preserve"> </w:t>
      </w:r>
      <w:r>
        <w:rPr>
          <w:vertAlign w:val="superscript"/>
        </w:rPr>
        <w:t>[20]</w:t>
      </w:r>
      <w:r>
        <w:rPr>
          <w:vertAlign w:val="superscript"/>
        </w:rPr>
        <w:t xml:space="preserve"> </w:t>
      </w:r>
      <w:r>
        <w:rPr>
          <w:vertAlign w:val="superscript"/>
        </w:rPr>
        <w:t>[21]</w:t>
      </w:r>
      <w:r>
        <w:rPr>
          <w:vertAlign w:val="superscript"/>
        </w:rPr>
        <w:br/>
        <w:t xml:space="preserve">  </w:t>
      </w:r>
      <w:r>
        <w:rPr>
          <w:vertAlign w:val="superscript"/>
        </w:rPr>
        <w:t>[14]</w:t>
      </w:r>
      <w:r>
        <w:rPr/>
        <w:t>;</w:t>
        <w:br/>
        <w:t xml:space="preserve">  本工具列的每一项能力均有仓库内测试背书。</w:t>
      </w:r>
    </w:p>
    <w:p>
      <w:pPr>
        <w:spacing w:before="160"/>
      </w:pPr>
      <w:r>
        <w:rPr>
          <w:b/>
          <w:color w:val="66788C"/>
          <w:sz w:val="18"/>
        </w:rPr>
        <w:t>表 12</w:t>
      </w:r>
      <w:r>
        <w:rPr>
          <w:color w:val="66788C"/>
          <w:sz w:val="18"/>
        </w:rPr>
        <w:t xml:space="preserve"> · 能力矩阵(●=完整 ◐=部分/近似 ○=无 · 依公开资料,商用工具以其文档口径为准)</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fill="E8EDF5"/>
          </w:tcPr>
          <w:p>
            <w:r>
              <w:rPr>
                <w:b/>
                <w:sz w:val="17"/>
              </w:rPr>
              <w:t>能力</w:t>
            </w:r>
          </w:p>
        </w:tc>
        <w:tc>
          <w:tcPr>
            <w:tcW w:type="dxa" w:w="1108"/>
            <w:shd w:val="clear" w:fill="E8EDF5"/>
          </w:tcPr>
          <w:p>
            <w:r>
              <w:rPr>
                <w:b/>
                <w:sz w:val="17"/>
              </w:rPr>
              <w:t>RiskSpectrum PSA</w:t>
            </w:r>
          </w:p>
        </w:tc>
        <w:tc>
          <w:tcPr>
            <w:tcW w:type="dxa" w:w="1108"/>
            <w:shd w:val="clear" w:fill="E8EDF5"/>
          </w:tcPr>
          <w:p>
            <w:r>
              <w:rPr>
                <w:b/>
                <w:sz w:val="17"/>
              </w:rPr>
              <w:t>SAPHIRE 8</w:t>
            </w:r>
          </w:p>
        </w:tc>
        <w:tc>
          <w:tcPr>
            <w:tcW w:type="dxa" w:w="1108"/>
            <w:shd w:val="clear" w:fill="E8EDF5"/>
          </w:tcPr>
          <w:p>
            <w:r>
              <w:rPr>
                <w:b/>
                <w:sz w:val="17"/>
              </w:rPr>
              <w:t>CAFTA</w:t>
            </w:r>
          </w:p>
        </w:tc>
        <w:tc>
          <w:tcPr>
            <w:tcW w:type="dxa" w:w="1108"/>
            <w:shd w:val="clear" w:fill="E8EDF5"/>
          </w:tcPr>
          <w:p>
            <w:r>
              <w:rPr>
                <w:b/>
                <w:sz w:val="17"/>
              </w:rPr>
              <w:t>Isograph FT+</w:t>
            </w:r>
          </w:p>
        </w:tc>
        <w:tc>
          <w:tcPr>
            <w:tcW w:type="dxa" w:w="1108"/>
            <w:shd w:val="clear" w:fill="E8EDF5"/>
          </w:tcPr>
          <w:p>
            <w:r>
              <w:rPr>
                <w:b/>
                <w:sz w:val="17"/>
              </w:rPr>
              <w:t>XFTA</w:t>
            </w:r>
          </w:p>
        </w:tc>
        <w:tc>
          <w:tcPr>
            <w:tcW w:type="dxa" w:w="1108"/>
            <w:shd w:val="clear" w:fill="E8EDF5"/>
          </w:tcPr>
          <w:p>
            <w:r>
              <w:rPr>
                <w:b/>
                <w:sz w:val="17"/>
              </w:rPr>
              <w:t>SCRAM</w:t>
            </w:r>
          </w:p>
        </w:tc>
        <w:tc>
          <w:tcPr>
            <w:tcW w:type="dxa" w:w="1108"/>
            <w:shd w:val="clear" w:fill="E8EDF5"/>
          </w:tcPr>
          <w:p>
            <w:r>
              <w:rPr>
                <w:b/>
                <w:sz w:val="17"/>
              </w:rPr>
              <w:t>FinPSA</w:t>
            </w:r>
          </w:p>
        </w:tc>
        <w:tc>
          <w:tcPr>
            <w:tcW w:type="dxa" w:w="1108"/>
            <w:shd w:val="clear" w:fill="E8EDF5"/>
          </w:tcPr>
          <w:p>
            <w:r>
              <w:rPr>
                <w:b/>
                <w:sz w:val="17"/>
              </w:rPr>
              <w:t>本工具</w:t>
            </w:r>
          </w:p>
        </w:tc>
      </w:tr>
      <w:tr>
        <w:tc>
          <w:tcPr>
            <w:tcW w:type="dxa" w:w="1108"/>
          </w:tcPr>
          <w:p>
            <w:r>
              <w:rPr>
                <w:sz w:val="17"/>
              </w:rPr>
              <w:t>定量主通道</w:t>
            </w:r>
          </w:p>
        </w:tc>
        <w:tc>
          <w:tcPr>
            <w:tcW w:type="dxa" w:w="1108"/>
          </w:tcPr>
          <w:p>
            <w:r>
              <w:rPr>
                <w:sz w:val="17"/>
              </w:rPr>
              <w:t>MCS + MCS-BDD 校准</w:t>
            </w:r>
          </w:p>
        </w:tc>
        <w:tc>
          <w:tcPr>
            <w:tcW w:type="dxa" w:w="1108"/>
          </w:tcPr>
          <w:p>
            <w:r>
              <w:rPr>
                <w:sz w:val="17"/>
              </w:rPr>
              <w:t>MCS(REA/MCUB)</w:t>
            </w:r>
          </w:p>
        </w:tc>
        <w:tc>
          <w:tcPr>
            <w:tcW w:type="dxa" w:w="1108"/>
          </w:tcPr>
          <w:p>
            <w:r>
              <w:rPr>
                <w:sz w:val="17"/>
              </w:rPr>
              <w:t>MCS</w:t>
            </w:r>
          </w:p>
        </w:tc>
        <w:tc>
          <w:tcPr>
            <w:tcW w:type="dxa" w:w="1108"/>
          </w:tcPr>
          <w:p>
            <w:r>
              <w:rPr>
                <w:sz w:val="17"/>
              </w:rPr>
              <w:t>MCS + 精确上界后处理</w:t>
            </w:r>
          </w:p>
        </w:tc>
        <w:tc>
          <w:tcPr>
            <w:tcW w:type="dxa" w:w="1108"/>
          </w:tcPr>
          <w:p>
            <w:r>
              <w:rPr>
                <w:sz w:val="17"/>
              </w:rPr>
              <w:t>MCS/REA 族</w:t>
            </w:r>
          </w:p>
        </w:tc>
        <w:tc>
          <w:tcPr>
            <w:tcW w:type="dxa" w:w="1108"/>
          </w:tcPr>
          <w:p>
            <w:r>
              <w:rPr>
                <w:sz w:val="17"/>
              </w:rPr>
              <w:t>MOCUS/ZBDD/</w:t>
            </w:r>
            <w:r>
              <w:rPr>
                <w:b/>
                <w:sz w:val="17"/>
              </w:rPr>
              <w:t>BDD 精确</w:t>
            </w:r>
          </w:p>
        </w:tc>
        <w:tc>
          <w:tcPr>
            <w:tcW w:type="dxa" w:w="1108"/>
          </w:tcPr>
          <w:p>
            <w:r>
              <w:rPr>
                <w:sz w:val="17"/>
              </w:rPr>
              <w:t>MCS</w:t>
            </w:r>
          </w:p>
        </w:tc>
        <w:tc>
          <w:tcPr>
            <w:tcW w:type="dxa" w:w="1108"/>
          </w:tcPr>
          <w:p>
            <w:r>
              <w:rPr>
                <w:b/>
                <w:sz w:val="17"/>
              </w:rPr>
              <w:t>BDD 精确</w:t>
            </w:r>
            <w:r>
              <w:rPr>
                <w:sz w:val="17"/>
              </w:rPr>
              <w:t>(MCS 为视图)</w:t>
            </w:r>
          </w:p>
        </w:tc>
      </w:tr>
      <w:tr>
        <w:tc>
          <w:tcPr>
            <w:tcW w:type="dxa" w:w="1108"/>
          </w:tcPr>
          <w:p>
            <w:r>
              <w:rPr>
                <w:sz w:val="17"/>
              </w:rPr>
              <w:t>成功分支处理</w:t>
            </w:r>
          </w:p>
        </w:tc>
        <w:tc>
          <w:tcPr>
            <w:tcW w:type="dxa" w:w="1108"/>
          </w:tcPr>
          <w:p>
            <w:r>
              <w:rPr>
                <w:sz w:val="17"/>
              </w:rPr>
              <w:t>delete-term 近似</w:t>
            </w:r>
          </w:p>
        </w:tc>
        <w:tc>
          <w:tcPr>
            <w:tcW w:type="dxa" w:w="1108"/>
          </w:tcPr>
          <w:p>
            <w:r>
              <w:rPr>
                <w:sz w:val="17"/>
              </w:rPr>
              <w:t>delete-term 近似</w:t>
            </w:r>
          </w:p>
        </w:tc>
        <w:tc>
          <w:tcPr>
            <w:tcW w:type="dxa" w:w="1108"/>
          </w:tcPr>
          <w:p>
            <w:r>
              <w:rPr>
                <w:sz w:val="17"/>
              </w:rPr>
              <w:t>MCS 域处理</w:t>
            </w:r>
          </w:p>
        </w:tc>
        <w:tc>
          <w:tcPr>
            <w:tcW w:type="dxa" w:w="1108"/>
          </w:tcPr>
          <w:p>
            <w:r>
              <w:rPr>
                <w:sz w:val="17"/>
              </w:rPr>
              <w:t>●(厂商:成功态完全处理)</w:t>
            </w:r>
          </w:p>
        </w:tc>
        <w:tc>
          <w:tcPr>
            <w:tcW w:type="dxa" w:w="1108"/>
          </w:tcPr>
          <w:p>
            <w:r>
              <w:rPr>
                <w:sz w:val="17"/>
              </w:rPr>
              <w:t>非相干可精确</w:t>
            </w:r>
          </w:p>
        </w:tc>
        <w:tc>
          <w:tcPr>
            <w:tcW w:type="dxa" w:w="1108"/>
          </w:tcPr>
          <w:p>
            <w:r>
              <w:rPr>
                <w:sz w:val="17"/>
              </w:rPr>
              <w:t>BDD 下精确</w:t>
            </w:r>
          </w:p>
        </w:tc>
        <w:tc>
          <w:tcPr>
            <w:tcW w:type="dxa" w:w="1108"/>
          </w:tcPr>
          <w:p>
            <w:r>
              <w:rPr>
                <w:sz w:val="17"/>
              </w:rPr>
              <w:t>MCS 域</w:t>
            </w:r>
          </w:p>
        </w:tc>
        <w:tc>
          <w:tcPr>
            <w:tcW w:type="dxa" w:w="1108"/>
          </w:tcPr>
          <w:p>
            <w:r>
              <w:rPr>
                <w:b/>
                <w:sz w:val="17"/>
              </w:rPr>
              <w:t>合并图布尔精确否定</w:t>
            </w:r>
            <w:r>
              <w:rPr>
                <w:sz w:val="17"/>
              </w:rPr>
              <w:t>(锚 0.109)</w:t>
            </w:r>
          </w:p>
        </w:tc>
      </w:tr>
      <w:tr>
        <w:tc>
          <w:tcPr>
            <w:tcW w:type="dxa" w:w="1108"/>
          </w:tcPr>
          <w:p>
            <w:r>
              <w:rPr>
                <w:sz w:val="17"/>
              </w:rPr>
              <w:t>CCF 模型</w:t>
            </w:r>
          </w:p>
        </w:tc>
        <w:tc>
          <w:tcPr>
            <w:tcW w:type="dxa" w:w="1108"/>
          </w:tcPr>
          <w:p>
            <w:r>
              <w:rPr>
                <w:sz w:val="17"/>
              </w:rPr>
              <w:t>β/MGL/α 全</w:t>
            </w:r>
          </w:p>
        </w:tc>
        <w:tc>
          <w:tcPr>
            <w:tcW w:type="dxa" w:w="1108"/>
          </w:tcPr>
          <w:p>
            <w:r>
              <w:rPr>
                <w:sz w:val="17"/>
              </w:rPr>
              <w:t>α 为主</w:t>
            </w:r>
          </w:p>
        </w:tc>
        <w:tc>
          <w:tcPr>
            <w:tcW w:type="dxa" w:w="1108"/>
          </w:tcPr>
          <w:p>
            <w:r>
              <w:rPr>
                <w:sz w:val="17"/>
              </w:rPr>
              <w:t>插件/手工</w:t>
            </w:r>
          </w:p>
        </w:tc>
        <w:tc>
          <w:tcPr>
            <w:tcW w:type="dxa" w:w="1108"/>
          </w:tcPr>
          <w:p>
            <w:r>
              <w:rPr>
                <w:sz w:val="17"/>
              </w:rPr>
              <w:t>β/MGL/α/β-BFR</w:t>
            </w:r>
          </w:p>
        </w:tc>
        <w:tc>
          <w:tcPr>
            <w:tcW w:type="dxa" w:w="1108"/>
          </w:tcPr>
          <w:p>
            <w:r>
              <w:rPr>
                <w:sz w:val="17"/>
              </w:rPr>
              <w:t>β/MGL/α/φ</w:t>
            </w:r>
          </w:p>
        </w:tc>
        <w:tc>
          <w:tcPr>
            <w:tcW w:type="dxa" w:w="1108"/>
          </w:tcPr>
          <w:p>
            <w:r>
              <w:rPr>
                <w:sz w:val="17"/>
              </w:rPr>
              <w:t>β/MGL/α/φ</w:t>
            </w:r>
          </w:p>
        </w:tc>
        <w:tc>
          <w:tcPr>
            <w:tcW w:type="dxa" w:w="1108"/>
          </w:tcPr>
          <w:p>
            <w:r>
              <w:rPr>
                <w:sz w:val="17"/>
              </w:rPr>
              <w:t>有</w:t>
            </w:r>
          </w:p>
        </w:tc>
        <w:tc>
          <w:tcPr>
            <w:tcW w:type="dxa" w:w="1108"/>
          </w:tcPr>
          <w:p>
            <w:r>
              <w:rPr>
                <w:b/>
                <w:sz w:val="17"/>
              </w:rPr>
              <w:t>β/MGL/α/φ + 错峰</w:t>
            </w:r>
            <w:r>
              <w:rPr>
                <w:sz w:val="17"/>
              </w:rPr>
              <w:t>(NUREG 锚 + SCRAM 对拍)</w:t>
            </w:r>
          </w:p>
        </w:tc>
      </w:tr>
      <w:tr>
        <w:tc>
          <w:tcPr>
            <w:tcW w:type="dxa" w:w="1108"/>
          </w:tcPr>
          <w:p>
            <w:r>
              <w:rPr>
                <w:sz w:val="17"/>
              </w:rPr>
              <w:t>非相干/素蕴涵项</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b/>
                <w:sz w:val="17"/>
              </w:rPr>
              <w:t>●</w:t>
            </w:r>
          </w:p>
        </w:tc>
      </w:tr>
      <w:tr>
        <w:tc>
          <w:tcPr>
            <w:tcW w:type="dxa" w:w="1108"/>
          </w:tcPr>
          <w:p>
            <w:r>
              <w:rPr>
                <w:sz w:val="17"/>
              </w:rPr>
              <w:t>边界条件集 / house</w:t>
            </w:r>
          </w:p>
        </w:tc>
        <w:tc>
          <w:tcPr>
            <w:tcW w:type="dxa" w:w="1108"/>
          </w:tcPr>
          <w:p>
            <w:r>
              <w:rPr>
                <w:sz w:val="17"/>
              </w:rPr>
              <w:t>●</w:t>
            </w:r>
          </w:p>
        </w:tc>
        <w:tc>
          <w:tcPr>
            <w:tcW w:type="dxa" w:w="1108"/>
          </w:tcPr>
          <w:p>
            <w:r>
              <w:rPr>
                <w:sz w:val="17"/>
              </w:rPr>
              <w:t>●(变更集)</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●(hazard 表)</w:t>
            </w:r>
          </w:p>
        </w:tc>
        <w:tc>
          <w:tcPr>
            <w:tcW w:type="dxa" w:w="1108"/>
          </w:tcPr>
          <w:p>
            <w:r>
              <w:rPr>
                <w:b/>
                <w:sz w:val="17"/>
              </w:rPr>
              <w:t>●</w:t>
            </w:r>
            <w:r>
              <w:rPr>
                <w:sz w:val="17"/>
              </w:rPr>
              <w:t xml:space="preserve"> 命名集+覆盖,模型不可变</w:t>
            </w:r>
          </w:p>
        </w:tc>
      </w:tr>
      <w:tr>
        <w:tc>
          <w:tcPr>
            <w:tcW w:type="dxa" w:w="1108"/>
          </w:tcPr>
          <w:p>
            <w:r>
              <w:rPr>
                <w:sz w:val="17"/>
              </w:rPr>
              <w:t>割集后处理/恢复规则</w:t>
            </w:r>
          </w:p>
        </w:tc>
        <w:tc>
          <w:tcPr>
            <w:tcW w:type="dxa" w:w="1108"/>
          </w:tcPr>
          <w:p>
            <w:r>
              <w:rPr>
                <w:sz w:val="17"/>
              </w:rPr>
              <w:t>●</w:t>
            </w:r>
          </w:p>
        </w:tc>
        <w:tc>
          <w:tcPr>
            <w:tcW w:type="dxa" w:w="1108"/>
          </w:tcPr>
          <w:p>
            <w:r>
              <w:rPr>
                <w:sz w:val="17"/>
              </w:rPr>
              <w:t>●</w:t>
            </w:r>
          </w:p>
        </w:tc>
        <w:tc>
          <w:tcPr>
            <w:tcW w:type="dxa" w:w="1108"/>
          </w:tcPr>
          <w:p>
            <w:r>
              <w:rPr>
                <w:sz w:val="17"/>
              </w:rPr>
              <w:t>●(配套件)</w:t>
            </w:r>
          </w:p>
        </w:tc>
        <w:tc>
          <w:tcPr>
            <w:tcW w:type="dxa" w:w="1108"/>
          </w:tcPr>
          <w:p>
            <w:r>
              <w:rPr>
                <w:sz w:val="17"/>
              </w:rPr>
              <w:t>●(含初因-使能)</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b/>
                <w:sz w:val="17"/>
              </w:rPr>
              <w:t>●</w:t>
            </w:r>
            <w:r>
              <w:rPr>
                <w:sz w:val="17"/>
              </w:rPr>
              <w:t xml:space="preserve"> 且精确通道隔离</w:t>
            </w:r>
          </w:p>
        </w:tc>
      </w:tr>
      <w:tr>
        <w:tc>
          <w:tcPr>
            <w:tcW w:type="dxa" w:w="1108"/>
          </w:tcPr>
          <w:p>
            <w:r>
              <w:rPr>
                <w:sz w:val="17"/>
              </w:rPr>
              <w:t>不确定性(相关抽样)</w:t>
            </w:r>
          </w:p>
        </w:tc>
        <w:tc>
          <w:tcPr>
            <w:tcW w:type="dxa" w:w="1108"/>
          </w:tcPr>
          <w:p>
            <w:r>
              <w:rPr>
                <w:sz w:val="17"/>
              </w:rPr>
              <w:t>●</w:t>
            </w:r>
          </w:p>
        </w:tc>
        <w:tc>
          <w:tcPr>
            <w:tcW w:type="dxa" w:w="1108"/>
          </w:tcPr>
          <w:p>
            <w:r>
              <w:rPr>
                <w:sz w:val="17"/>
              </w:rPr>
              <w:t>●</w:t>
            </w:r>
          </w:p>
        </w:tc>
        <w:tc>
          <w:tcPr>
            <w:tcW w:type="dxa" w:w="1108"/>
          </w:tcPr>
          <w:p>
            <w:r>
              <w:rPr>
                <w:sz w:val="17"/>
              </w:rPr>
              <w:t>配套 UNCERT</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b/>
                <w:sz w:val="17"/>
              </w:rPr>
              <w:t>●</w:t>
            </w:r>
            <w:r>
              <w:rPr>
                <w:sz w:val="17"/>
              </w:rPr>
              <w:t xml:space="preserve"> 共享事件单抽</w:t>
            </w:r>
          </w:p>
        </w:tc>
      </w:tr>
      <w:tr>
        <w:tc>
          <w:tcPr>
            <w:tcW w:type="dxa" w:w="1108"/>
          </w:tcPr>
          <w:p>
            <w:r>
              <w:rPr>
                <w:sz w:val="17"/>
              </w:rPr>
              <w:t>现场贝叶斯更新</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b/>
                <w:sz w:val="17"/>
              </w:rPr>
              <w:t>●</w:t>
            </w:r>
            <w:r>
              <w:rPr>
                <w:sz w:val="17"/>
              </w:rPr>
              <w:t xml:space="preserve"> Beta-二项内置(§4.9)</w:t>
            </w:r>
          </w:p>
        </w:tc>
      </w:tr>
      <w:tr>
        <w:tc>
          <w:tcPr>
            <w:tcW w:type="dxa" w:w="1108"/>
          </w:tcPr>
          <w:p>
            <w:r>
              <w:rPr>
                <w:sz w:val="17"/>
              </w:rPr>
              <w:t>Open-PSA MEF</w:t>
            </w:r>
          </w:p>
        </w:tc>
        <w:tc>
          <w:tcPr>
            <w:tcW w:type="dxa" w:w="1108"/>
          </w:tcPr>
          <w:p>
            <w:r>
              <w:rPr>
                <w:sz w:val="17"/>
              </w:rPr>
              <w:t>◐(导出)</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●(原生)</w:t>
            </w:r>
          </w:p>
        </w:tc>
        <w:tc>
          <w:tcPr>
            <w:tcW w:type="dxa" w:w="1108"/>
          </w:tcPr>
          <w:p>
            <w:r>
              <w:rPr>
                <w:sz w:val="17"/>
              </w:rPr>
              <w:t>●(原生)</w:t>
            </w:r>
          </w:p>
        </w:tc>
        <w:tc>
          <w:tcPr>
            <w:tcW w:type="dxa" w:w="1108"/>
          </w:tcPr>
          <w:p>
            <w:r>
              <w:rPr>
                <w:sz w:val="17"/>
              </w:rPr>
              <w:t>◐</w:t>
            </w:r>
          </w:p>
        </w:tc>
        <w:tc>
          <w:tcPr>
            <w:tcW w:type="dxa" w:w="1108"/>
          </w:tcPr>
          <w:p>
            <w:r>
              <w:rPr>
                <w:b/>
                <w:sz w:val="17"/>
              </w:rPr>
              <w:t>●</w:t>
            </w:r>
            <w:r>
              <w:rPr>
                <w:sz w:val="17"/>
              </w:rPr>
              <w:t xml:space="preserve"> 含 CCF 组往返</w:t>
            </w:r>
          </w:p>
        </w:tc>
      </w:tr>
      <w:tr>
        <w:tc>
          <w:tcPr>
            <w:tcW w:type="dxa" w:w="1108"/>
          </w:tcPr>
          <w:p>
            <w:r>
              <w:rPr>
                <w:sz w:val="17"/>
              </w:rPr>
              <w:t>版本化+审计+案例钉扎</w:t>
            </w:r>
          </w:p>
        </w:tc>
        <w:tc>
          <w:tcPr>
            <w:tcW w:type="dxa" w:w="1108"/>
          </w:tcPr>
          <w:p>
            <w:r>
              <w:rPr>
                <w:sz w:val="17"/>
              </w:rPr>
              <w:t>◐(工程库)</w:t>
            </w:r>
          </w:p>
        </w:tc>
        <w:tc>
          <w:tcPr>
            <w:tcW w:type="dxa" w:w="1108"/>
          </w:tcPr>
          <w:p>
            <w:r>
              <w:rPr>
                <w:sz w:val="17"/>
              </w:rPr>
              <w:t>◐</w:t>
            </w:r>
          </w:p>
        </w:tc>
        <w:tc>
          <w:tcPr>
            <w:tcW w:type="dxa" w:w="1108"/>
          </w:tcPr>
          <w:p>
            <w:r>
              <w:rPr>
                <w:sz w:val="17"/>
              </w:rPr>
              <w:t>◐</w:t>
            </w:r>
          </w:p>
        </w:tc>
        <w:tc>
          <w:tcPr>
            <w:tcW w:type="dxa" w:w="1108"/>
          </w:tcPr>
          <w:p>
            <w:r>
              <w:rPr>
                <w:sz w:val="17"/>
              </w:rPr>
              <w:t>◐(工程库)</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b/>
                <w:sz w:val="17"/>
              </w:rPr>
              <w:t>●</w:t>
            </w:r>
            <w:r>
              <w:rPr>
                <w:sz w:val="17"/>
              </w:rPr>
              <w:t xml:space="preserve"> 内容寻址+只增审计+报告页脚证据</w:t>
            </w:r>
          </w:p>
        </w:tc>
      </w:tr>
      <w:tr>
        <w:tc>
          <w:tcPr>
            <w:tcW w:type="dxa" w:w="1108"/>
          </w:tcPr>
          <w:p>
            <w:r>
              <w:rPr>
                <w:sz w:val="17"/>
              </w:rPr>
              <w:t>评审签发工作流</w:t>
            </w:r>
          </w:p>
        </w:tc>
        <w:tc>
          <w:tcPr>
            <w:tcW w:type="dxa" w:w="1108"/>
          </w:tcPr>
          <w:p>
            <w:r>
              <w:rPr>
                <w:sz w:val="17"/>
              </w:rPr>
              <w:t>◐(外挂流程)</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b/>
                <w:sz w:val="17"/>
              </w:rPr>
              <w:t>●</w:t>
            </w:r>
            <w:r>
              <w:rPr>
                <w:sz w:val="17"/>
              </w:rPr>
              <w:t xml:space="preserve"> 状态机+签发终态触发器+导出门(§4.14)</w:t>
            </w:r>
          </w:p>
        </w:tc>
      </w:tr>
      <w:tr>
        <w:tc>
          <w:tcPr>
            <w:tcW w:type="dxa" w:w="1108"/>
          </w:tcPr>
          <w:p>
            <w:r>
              <w:rPr>
                <w:sz w:val="17"/>
              </w:rPr>
              <w:t>模型对比(diff)</w:t>
            </w:r>
          </w:p>
        </w:tc>
        <w:tc>
          <w:tcPr>
            <w:tcW w:type="dxa" w:w="1108"/>
          </w:tcPr>
          <w:p>
            <w:r>
              <w:rPr>
                <w:sz w:val="17"/>
              </w:rPr>
              <w:t>●(Model Compare)</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b/>
                <w:sz w:val="17"/>
              </w:rPr>
              <w:t>●</w:t>
            </w:r>
            <w:r>
              <w:rPr>
                <w:sz w:val="17"/>
              </w:rPr>
              <w:t xml:space="preserve"> UUID 对齐规范 diff</w:t>
            </w:r>
          </w:p>
        </w:tc>
      </w:tr>
      <w:tr>
        <w:tc>
          <w:tcPr>
            <w:tcW w:type="dxa" w:w="1108"/>
          </w:tcPr>
          <w:p>
            <w:r>
              <w:rPr>
                <w:sz w:val="17"/>
              </w:rPr>
              <w:t>AI 辅助建模(接地+校验)</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sz w:val="17"/>
              </w:rPr>
              <w:t>○</w:t>
            </w:r>
          </w:p>
        </w:tc>
        <w:tc>
          <w:tcPr>
            <w:tcW w:type="dxa" w:w="1108"/>
          </w:tcPr>
          <w:p>
            <w:r>
              <w:rPr>
                <w:b/>
                <w:sz w:val="17"/>
              </w:rPr>
              <w:t>●</w:t>
            </w:r>
            <w:r>
              <w:rPr>
                <w:sz w:val="17"/>
              </w:rPr>
              <w:t xml:space="preserve"> ADR-3 管线(§4.12)</w:t>
            </w:r>
          </w:p>
        </w:tc>
      </w:tr>
      <w:tr>
        <w:tc>
          <w:tcPr>
            <w:tcW w:type="dxa" w:w="1108"/>
          </w:tcPr>
          <w:p>
            <w:r>
              <w:rPr>
                <w:sz w:val="17"/>
              </w:rPr>
              <w:t>形态 / 许可</w:t>
            </w:r>
          </w:p>
        </w:tc>
        <w:tc>
          <w:tcPr>
            <w:tcW w:type="dxa" w:w="1108"/>
          </w:tcPr>
          <w:p>
            <w:r>
              <w:rPr>
                <w:sz w:val="17"/>
              </w:rPr>
              <w:t>桌面·商业(全球 60% 核电站采用)</w:t>
            </w:r>
          </w:p>
        </w:tc>
        <w:tc>
          <w:tcPr>
            <w:tcW w:type="dxa" w:w="1108"/>
          </w:tcPr>
          <w:p>
            <w:r>
              <w:rPr>
                <w:sz w:val="17"/>
              </w:rPr>
              <w:t>桌面·NRC 资助(受限分发)</w:t>
            </w:r>
          </w:p>
        </w:tc>
        <w:tc>
          <w:tcPr>
            <w:tcW w:type="dxa" w:w="1108"/>
          </w:tcPr>
          <w:p>
            <w:r>
              <w:rPr>
                <w:sz w:val="17"/>
              </w:rPr>
              <w:t>桌面·EPRI 商业(美国机队主力)</w:t>
            </w:r>
          </w:p>
        </w:tc>
        <w:tc>
          <w:tcPr>
            <w:tcW w:type="dxa" w:w="1108"/>
          </w:tcPr>
          <w:p>
            <w:r>
              <w:rPr>
                <w:sz w:val="17"/>
              </w:rPr>
              <w:t>桌面·商业(RW 套件:FTA/ETA/Markov/RBD)</w:t>
            </w:r>
          </w:p>
        </w:tc>
        <w:tc>
          <w:tcPr>
            <w:tcW w:type="dxa" w:w="1108"/>
          </w:tcPr>
          <w:p>
            <w:r>
              <w:rPr>
                <w:sz w:val="17"/>
              </w:rPr>
              <w:t>CLI·免费</w:t>
            </w:r>
          </w:p>
        </w:tc>
        <w:tc>
          <w:tcPr>
            <w:tcW w:type="dxa" w:w="1108"/>
          </w:tcPr>
          <w:p>
            <w:r>
              <w:rPr>
                <w:sz w:val="17"/>
              </w:rPr>
              <w:t>CLI·开源 GPL</w:t>
            </w:r>
          </w:p>
        </w:tc>
        <w:tc>
          <w:tcPr>
            <w:tcW w:type="dxa" w:w="1108"/>
          </w:tcPr>
          <w:p>
            <w:r>
              <w:rPr>
                <w:sz w:val="17"/>
              </w:rPr>
              <w:t>桌面·商业(VTT)</w:t>
            </w:r>
          </w:p>
        </w:tc>
        <w:tc>
          <w:tcPr>
            <w:tcW w:type="dxa" w:w="1108"/>
          </w:tcPr>
          <w:p>
            <w:r>
              <w:rPr>
                <w:sz w:val="17"/>
              </w:rPr>
              <w:t>Web+离线单文件·自研全栈</w:t>
            </w:r>
          </w:p>
        </w:tc>
      </w:tr>
    </w:tbl>
    <w:p>
      <w:r>
        <w:rPr>
          <w:b/>
        </w:rPr>
        <w:t>定位解读。</w:t>
      </w:r>
      <w:r>
        <w:rPr/>
        <w:t>与 RiskSpectrum/SAPHIRE/CAFTA/Isograph 相比,本工具的差异化不在"更多功能",</w:t>
        <w:br/>
        <w:t xml:space="preserve">  而在三点结构性选择:① </w:t>
      </w:r>
      <w:r>
        <w:rPr>
          <w:b/>
        </w:rPr>
        <w:t>精确为默认</w:t>
      </w:r>
      <w:r>
        <w:rPr/>
        <w:t>(BDD 通道无近似,成功分支布尔精确——商用工具的</w:t>
        <w:br/>
        <w:t xml:space="preserve">  delete-term 在共享事件密集的 BESS 模型上系统性偏差,§6.5);② </w:t>
      </w:r>
      <w:r>
        <w:rPr>
          <w:b/>
        </w:rPr>
        <w:t>证据链为一等公民</w:t>
      </w:r>
      <w:r>
        <w:rPr/>
        <w:br/>
        <w:t xml:space="preserve">  (商用工具的配置管理是外挂流程,这里是内容寻址存储的物理性质);③ </w:t>
      </w:r>
      <w:r>
        <w:rPr>
          <w:b/>
        </w:rPr>
        <w:t>AI 辅助 + Web 原生 UX</w:t>
      </w:r>
      <w:r>
        <w:rPr/>
        <w:br/>
        <w:t xml:space="preserve">  (全体传统工具为桌面范式)。与 XFTA/SCRAM 等开放引擎相比,本工具补上了它们缺失的应用层</w:t>
        <w:br/>
        <w:t xml:space="preserve">  (画布、版本库、报告、领域数据)并以其为基准语料持续对拍。诚实边界:核级 Level-2/火灾/地震 PSA 的</w:t>
        <w:br/>
        <w:t xml:space="preserve">  专用模块、数十年监管认可积累,均是商用工具的护城河,本工具不声称覆盖(§11)。</w:t>
      </w:r>
    </w:p>
    <w:p>
      <w:pPr>
        <w:pStyle w:val="Heading1"/>
      </w:pPr>
      <w:r>
        <w:t>10 开发方法与质量保障</w:t>
      </w:r>
    </w:p>
    <w:p>
      <w:r>
        <w:t>安全工具的可信度不止于算法正确,还取决于</w:t>
      </w:r>
      <w:r>
        <w:rPr>
          <w:b/>
        </w:rPr>
        <w:t>它是怎么被构建与验证的</w:t>
      </w:r>
      <w:r>
        <w:rPr/>
        <w:t>。</w:t>
        <w:br/>
        <w:t xml:space="preserve">  本工具采用"多代理分工 + 独立对抗评审 + 规格驱动"的工程方法:模型按任务的安全关键度分派,</w:t>
        <w:br/>
        <w:t xml:space="preserve">  评审者与实现者上下文隔离,每个特性带着规格、验证记录与偏离日志进入主干。本章即软件质量保障</w:t>
        <w:br/>
        <w:t xml:space="preserve">  (SQA)说明——监管评审询问"工具本身的开发质量"时,以本章与仓库内证据回答。</w:t>
      </w:r>
    </w:p>
    <w:p>
      <w:pPr>
        <w:pStyle w:val="Heading2"/>
      </w:pPr>
      <w:r>
        <w:t>10.1 多代理工作流</w:t>
      </w:r>
    </w:p>
    <w:p>
      <w:pPr>
        <w:jc w:val="center"/>
      </w:pPr>
      <w:r>
        <w:drawing>
          <wp:inline xmlns:a="http://schemas.openxmlformats.org/drawingml/2006/main" xmlns:pic="http://schemas.openxmlformats.org/drawingml/2006/picture">
            <wp:extent cx="5976000" cy="2716364"/>
            <wp:docPr id="9" name="Picture 9"/>
            <wp:cNvGraphicFramePr>
              <a:graphicFrameLocks noChangeAspect="1"/>
            </wp:cNvGraphicFramePr>
            <a:graphic>
              <a:graphicData uri="http://schemas.openxmlformats.org/drawingml/2006/picture">
                <pic:pic>
                  <pic:nvPicPr>
                    <pic:cNvPr id="0" name="fig-9.png"/>
                    <pic:cNvPicPr/>
                  </pic:nvPicPr>
                  <pic:blipFill>
                    <a:blip r:embed="rId17"/>
                    <a:stretch>
                      <a:fillRect/>
                    </a:stretch>
                  </pic:blipFill>
                  <pic:spPr>
                    <a:xfrm>
                      <a:off x="0" y="0"/>
                      <a:ext cx="5976000" cy="2716364"/>
                    </a:xfrm>
                    <a:prstGeom prst="rect"/>
                  </pic:spPr>
                </pic:pic>
              </a:graphicData>
            </a:graphic>
          </wp:inline>
        </w:drawing>
      </w:r>
    </w:p>
    <w:p>
      <w:pPr>
        <w:jc w:val="left"/>
      </w:pPr>
      <w:r>
        <w:rPr>
          <w:b/>
          <w:color w:val="66788C"/>
          <w:sz w:val="18"/>
        </w:rPr>
        <w:t>图 9</w:t>
      </w:r>
      <w:r>
        <w:rPr>
          <w:color w:val="66788C"/>
          <w:sz w:val="18"/>
        </w:rPr>
        <w:t xml:space="preserve"> · 多代理工作流。要点:实现者与评审者</w:t>
      </w:r>
      <w:r>
        <w:rPr>
          <w:b/>
          <w:color w:val="66788C"/>
          <w:sz w:val="18"/>
        </w:rPr>
        <w:t>上下文隔离</w:t>
      </w:r>
      <w:r>
        <w:rPr>
          <w:color w:val="66788C"/>
          <w:sz w:val="18"/>
        </w:rPr>
        <w:br/>
        <w:t xml:space="preserve">    (评审代理冷读代码,不继承实现叙事);协调者逐批独立验收(门禁 + 浏览器实测)后才派下一批;</w:t>
        <w:br/>
        <w:t xml:space="preserve">    子代理后台运行,进程中断可原地续跑。模型分派策略详见 </w:t>
      </w:r>
      <w:r>
        <w:rPr>
          <w:rFonts w:ascii="Consolas" w:hAnsi="Consolas"/>
          <w:color w:val="66788C"/>
          <w:sz w:val="18"/>
        </w:rPr>
        <w:t>docs/design/ai-model-strategy.md</w:t>
      </w:r>
      <w:r>
        <w:rPr>
          <w:color w:val="66788C"/>
          <w:sz w:val="18"/>
        </w:rPr>
        <w:t>。</w:t>
      </w:r>
    </w:p>
    <w:tbl>
      <w:tblPr>
        <w:tblStyle w:val="TableGrid"/>
        <w:tblW w:type="auto" w:w="0"/>
        <w:tblLook w:firstColumn="1" w:firstRow="1" w:lastColumn="0" w:lastRow="0" w:noHBand="0" w:noVBand="1" w:val="04A0"/>
      </w:tblPr>
      <w:tblGrid>
        <w:gridCol w:w="9972"/>
      </w:tblGrid>
      <w:tr>
        <w:tc>
          <w:tcPr>
            <w:tcW w:type="dxa" w:w="9972"/>
            <w:shd w:val="clear" w:fill="EAF0FD"/>
          </w:tcPr>
          <w:p>
            <w:r>
              <w:rPr>
                <w:b/>
                <w:sz w:val="19"/>
              </w:rPr>
              <w:t>评审拦截实录(为什么坚持独立评审)。</w:t>
            </w:r>
            <w:r>
              <w:rPr>
                <w:sz w:val="19"/>
              </w:rPr>
              <w:t>同作者的测试会遗传同作者的盲区</w:t>
              <w:br/>
              <w:t xml:space="preserve">  ——本项目四次实证:①模板迁移时 LLM 曾</w:t>
            </w:r>
            <w:r>
              <w:rPr>
                <w:b/>
                <w:sz w:val="19"/>
              </w:rPr>
              <w:t>凭空发明</w:t>
            </w:r>
            <w:r>
              <w:rPr>
                <w:sz w:val="19"/>
              </w:rPr>
              <w:t>第四道屏障并改 PFD,自写测试</w:t>
              <w:br/>
              <w:t xml:space="preserve">  全绿,domain-reviewer 抓获(逐字还原 + 护栏测试);②初因频率通道 round-1 六项发现,含 UI</w:t>
              <w:br/>
              <w:t xml:space="preserve">  可达的非相干门静默错数 +67%;③多项目隔离层 8 条自测锁全绿,冷读对抗审查 40 分钟判 FAIL</w:t>
              <w:br/>
              <w:t xml:space="preserve">  (9 项,2 项 CRITICAL 跨项目存档覆盖,全部探针证实后修复);④组合总览夹具伪造数据形状,</w:t>
              <w:br/>
              <w:t xml:space="preserve">  遮蔽"真实不确定性运行显示为未量化"的反保守缺陷。由此立规:</w:t>
            </w:r>
            <w:r>
              <w:rPr>
                <w:b/>
                <w:sz w:val="19"/>
              </w:rPr>
              <w:t>隔离/状态机/并发类改动,</w:t>
              <w:br/>
              <w:t xml:space="preserve">  套件全绿仍必须冷读对抗审查</w:t>
            </w:r>
            <w:r>
              <w:rPr>
                <w:sz w:val="19"/>
              </w:rPr>
              <w:t>(verify-psa 升级规则)。</w:t>
            </w:r>
          </w:p>
        </w:tc>
      </w:tr>
    </w:tbl>
    <w:p>
      <w:pPr>
        <w:spacing w:after="0"/>
      </w:pPr>
    </w:p>
    <w:p>
      <w:pPr>
        <w:pStyle w:val="Heading2"/>
      </w:pPr>
      <w:r>
        <w:t>10.2 技能与代理体系</w:t>
      </w:r>
    </w:p>
    <w:p>
      <w:r>
        <w:t>项目知识以</w:t>
      </w:r>
      <w:r>
        <w:rPr>
          <w:b/>
        </w:rPr>
        <w:t>技能文件</w:t>
      </w:r>
      <w:r>
        <w:rPr/>
        <w:t>沉淀(</w:t>
      </w:r>
      <w:r>
        <w:rPr>
          <w:rFonts w:ascii="Consolas" w:hAnsi="Consolas"/>
          <w:sz w:val="19"/>
        </w:rPr>
        <w:t>.claude/skills/</w:t>
      </w:r>
      <w:r>
        <w:rPr/>
        <w:t>,5 域 + 9 流程),</w:t>
        <w:br/>
        <w:t xml:space="preserve">  代理开工前按触发词加载对应技能——架构地图、硬性规则、已付学费的陷阱因此跨会话、跨代理继承,</w:t>
        <w:br/>
        <w:t xml:space="preserve">  而不是留在某次对话里:</w:t>
      </w:r>
    </w:p>
    <w:p>
      <w:pPr>
        <w:spacing w:before="160"/>
      </w:pPr>
      <w:r>
        <w:rPr>
          <w:b/>
          <w:color w:val="66788C"/>
          <w:sz w:val="18"/>
        </w:rPr>
        <w:t>表 13</w:t>
      </w:r>
      <w:r>
        <w:rPr>
          <w:color w:val="66788C"/>
          <w:sz w:val="18"/>
        </w:rPr>
        <w:t xml:space="preserve"> · 技能与代理清单(每项一句话;完整内容见 </w:t>
      </w:r>
      <w:r>
        <w:rPr>
          <w:rFonts w:ascii="Consolas" w:hAnsi="Consolas"/>
          <w:color w:val="66788C"/>
          <w:sz w:val="18"/>
        </w:rPr>
        <w:t>.claude/skills/*/SKILL.md</w:t>
      </w:r>
      <w:r>
        <w:rPr>
          <w:color w:val="66788C"/>
          <w:sz w:val="18"/>
        </w:rPr>
        <w: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E8EDF5"/>
          </w:tcPr>
          <w:p>
            <w:r>
              <w:rPr>
                <w:b/>
                <w:sz w:val="17"/>
              </w:rPr>
              <w:t>类别</w:t>
            </w:r>
          </w:p>
        </w:tc>
        <w:tc>
          <w:tcPr>
            <w:tcW w:type="dxa" w:w="3324"/>
            <w:shd w:val="clear" w:fill="E8EDF5"/>
          </w:tcPr>
          <w:p>
            <w:r>
              <w:rPr>
                <w:b/>
                <w:sz w:val="17"/>
              </w:rPr>
              <w:t>名称</w:t>
            </w:r>
          </w:p>
        </w:tc>
        <w:tc>
          <w:tcPr>
            <w:tcW w:type="dxa" w:w="3324"/>
            <w:shd w:val="clear" w:fill="E8EDF5"/>
          </w:tcPr>
          <w:p>
            <w:r>
              <w:rPr>
                <w:b/>
                <w:sz w:val="17"/>
              </w:rPr>
              <w:t>职责</w:t>
            </w:r>
          </w:p>
        </w:tc>
      </w:tr>
      <w:tr>
        <w:tc>
          <w:tcPr>
            <w:tcW w:type="dxa" w:w="3324"/>
          </w:tcPr>
          <w:p>
            <w:r>
              <w:rPr>
                <w:b/>
                <w:sz w:val="17"/>
              </w:rPr>
              <w:t>域技能</w:t>
            </w:r>
          </w:p>
        </w:tc>
        <w:tc>
          <w:tcPr>
            <w:tcW w:type="dxa" w:w="3324"/>
          </w:tcPr>
          <w:p>
            <w:r>
              <w:rPr>
                <w:rFonts w:ascii="Consolas" w:hAnsi="Consolas"/>
                <w:sz w:val="17"/>
              </w:rPr>
              <w:t>psa-engine</w:t>
            </w:r>
          </w:p>
        </w:tc>
        <w:tc>
          <w:tcPr>
            <w:tcW w:type="dxa" w:w="3324"/>
          </w:tcPr>
          <w:p>
            <w:r>
              <w:rPr>
                <w:sz w:val="17"/>
              </w:rPr>
              <w:t>定量引擎架构/既定偏离(无补边 ROBDD、精确成功否定)/验证门(benchmark 强制)</w:t>
            </w:r>
          </w:p>
        </w:tc>
      </w:tr>
      <w:tr>
        <w:tc>
          <w:tcPr>
            <w:tcW w:type="dxa" w:w="3324"/>
          </w:tcPr>
          <w:p>
            <w:r>
              <w:rPr>
                <w:rFonts w:ascii="Consolas" w:hAnsi="Consolas"/>
                <w:sz w:val="17"/>
              </w:rPr>
              <w:t>psa-frontend</w:t>
            </w:r>
          </w:p>
        </w:tc>
        <w:tc>
          <w:tcPr>
            <w:tcW w:type="dxa" w:w="3324"/>
          </w:tcPr>
          <w:p>
            <w:r>
              <w:rPr>
                <w:sz w:val="17"/>
              </w:rPr>
              <w:t>探索者壳+多项目槽架构、硬性规则(tsc -b、槽钉定)、开发环境陷阱</w:t>
            </w:r>
          </w:p>
        </w:tc>
        <w:tc>
          <w:tcPr>
            <w:tcW w:type="dxa" w:w="3324"/>
          </w:tcPr>
          <w:p/>
        </w:tc>
      </w:tr>
      <w:tr>
        <w:tc>
          <w:tcPr>
            <w:tcW w:type="dxa" w:w="3324"/>
          </w:tcPr>
          <w:p>
            <w:r>
              <w:rPr>
                <w:rFonts w:ascii="Consolas" w:hAnsi="Consolas"/>
                <w:sz w:val="17"/>
              </w:rPr>
              <w:t>psa-evidence-chain</w:t>
            </w:r>
          </w:p>
        </w:tc>
        <w:tc>
          <w:tcPr>
            <w:tcW w:type="dxa" w:w="3324"/>
          </w:tcPr>
          <w:p>
            <w:r>
              <w:rPr>
                <w:sz w:val="17"/>
              </w:rPr>
              <w:t>版本库/审计/评审签发/认证/组合总览的九条不变量与已付学费清单</w:t>
            </w:r>
          </w:p>
        </w:tc>
        <w:tc>
          <w:tcPr>
            <w:tcW w:type="dxa" w:w="3324"/>
          </w:tcPr>
          <w:p/>
        </w:tc>
      </w:tr>
      <w:tr>
        <w:tc>
          <w:tcPr>
            <w:tcW w:type="dxa" w:w="3324"/>
          </w:tcPr>
          <w:p>
            <w:r>
              <w:rPr>
                <w:rFonts w:ascii="Consolas" w:hAnsi="Consolas"/>
                <w:sz w:val="17"/>
              </w:rPr>
              <w:t>bess-tr-model</w:t>
            </w:r>
          </w:p>
        </w:tc>
        <w:tc>
          <w:tcPr>
            <w:tcW w:type="dxa" w:w="3324"/>
          </w:tcPr>
          <w:p>
            <w:r>
              <w:rPr>
                <w:sz w:val="17"/>
              </w:rPr>
              <w:t>热失控事件序列/屏障框架/后果分级/标准映射(UL 9540A、NFPA 855…)</w:t>
            </w:r>
          </w:p>
        </w:tc>
        <w:tc>
          <w:tcPr>
            <w:tcW w:type="dxa" w:w="3324"/>
          </w:tcPr>
          <w:p/>
        </w:tc>
      </w:tr>
      <w:tr>
        <w:tc>
          <w:tcPr>
            <w:tcW w:type="dxa" w:w="3324"/>
          </w:tcPr>
          <w:p>
            <w:r>
              <w:rPr>
                <w:rFonts w:ascii="Consolas" w:hAnsi="Consolas"/>
                <w:sz w:val="17"/>
              </w:rPr>
              <w:t>eta-reference-data</w:t>
            </w:r>
          </w:p>
        </w:tc>
        <w:tc>
          <w:tcPr>
            <w:tcW w:type="dxa" w:w="3324"/>
          </w:tcPr>
          <w:p>
            <w:r>
              <w:rPr>
                <w:sz w:val="17"/>
              </w:rPr>
              <w:t>参考库维护:分级/引文/单位纪律/贝叶斯更新路径</w:t>
            </w:r>
          </w:p>
        </w:tc>
        <w:tc>
          <w:tcPr>
            <w:tcW w:type="dxa" w:w="3324"/>
          </w:tcPr>
          <w:p/>
        </w:tc>
      </w:tr>
      <w:tr>
        <w:tc>
          <w:tcPr>
            <w:tcW w:type="dxa" w:w="3324"/>
          </w:tcPr>
          <w:p>
            <w:r>
              <w:rPr>
                <w:b/>
                <w:sz w:val="17"/>
              </w:rPr>
              <w:t>流程技能</w:t>
            </w:r>
          </w:p>
        </w:tc>
        <w:tc>
          <w:tcPr>
            <w:tcW w:type="dxa" w:w="3324"/>
          </w:tcPr>
          <w:p>
            <w:r>
              <w:rPr>
                <w:rFonts w:ascii="Consolas" w:hAnsi="Consolas"/>
                <w:sz w:val="17"/>
              </w:rPr>
              <w:t>blindspot-pass</w:t>
            </w:r>
          </w:p>
        </w:tc>
        <w:tc>
          <w:tcPr>
            <w:tcW w:type="dxa" w:w="3324"/>
          </w:tcPr>
          <w:p>
            <w:r>
              <w:rPr>
                <w:sz w:val="17"/>
              </w:rPr>
              <w:t>动工前的未知盲区探查(新领地强制;曾揪出在产量纲 bug)</w:t>
            </w:r>
          </w:p>
        </w:tc>
      </w:tr>
      <w:tr>
        <w:tc>
          <w:tcPr>
            <w:tcW w:type="dxa" w:w="3324"/>
          </w:tcPr>
          <w:p>
            <w:r>
              <w:rPr>
                <w:rFonts w:ascii="Consolas" w:hAnsi="Consolas"/>
                <w:sz w:val="17"/>
              </w:rPr>
              <w:t>interview-me</w:t>
            </w:r>
          </w:p>
        </w:tc>
        <w:tc>
          <w:tcPr>
            <w:tcW w:type="dxa" w:w="3324"/>
          </w:tcPr>
          <w:p>
            <w:r>
              <w:rPr>
                <w:sz w:val="17"/>
              </w:rPr>
              <w:t>逐题访谈锁定会改变设计的决策(一次一题)</w:t>
            </w:r>
          </w:p>
        </w:tc>
        <w:tc>
          <w:tcPr>
            <w:tcW w:type="dxa" w:w="3324"/>
          </w:tcPr>
          <w:p/>
        </w:tc>
      </w:tr>
      <w:tr>
        <w:tc>
          <w:tcPr>
            <w:tcW w:type="dxa" w:w="3324"/>
          </w:tcPr>
          <w:p>
            <w:r>
              <w:rPr>
                <w:rFonts w:ascii="Consolas" w:hAnsi="Consolas"/>
                <w:sz w:val="17"/>
              </w:rPr>
              <w:t>design-directions</w:t>
            </w:r>
          </w:p>
        </w:tc>
        <w:tc>
          <w:tcPr>
            <w:tcW w:type="dxa" w:w="3324"/>
          </w:tcPr>
          <w:p>
            <w:r>
              <w:rPr>
                <w:sz w:val="17"/>
              </w:rPr>
              <w:t>3–4 个分歧方向 HTML 样机,真实数据,用户挑选(壳/评审 UX 均由此定)</w:t>
            </w:r>
          </w:p>
        </w:tc>
        <w:tc>
          <w:tcPr>
            <w:tcW w:type="dxa" w:w="3324"/>
          </w:tcPr>
          <w:p/>
        </w:tc>
      </w:tr>
      <w:tr>
        <w:tc>
          <w:tcPr>
            <w:tcW w:type="dxa" w:w="3324"/>
          </w:tcPr>
          <w:p>
            <w:r>
              <w:rPr>
                <w:rFonts w:ascii="Consolas" w:hAnsi="Consolas"/>
                <w:sz w:val="17"/>
              </w:rPr>
              <w:t>reference-hunt</w:t>
            </w:r>
          </w:p>
        </w:tc>
        <w:tc>
          <w:tcPr>
            <w:tcW w:type="dxa" w:w="3324"/>
          </w:tcPr>
          <w:p>
            <w:r>
              <w:rPr>
                <w:sz w:val="17"/>
              </w:rPr>
              <w:t>复刻既有工具行为前先取证其精确语义(SCRAM 源码/RS 手册/NUREG)</w:t>
            </w:r>
          </w:p>
        </w:tc>
        <w:tc>
          <w:tcPr>
            <w:tcW w:type="dxa" w:w="3324"/>
          </w:tcPr>
          <w:p/>
        </w:tc>
      </w:tr>
      <w:tr>
        <w:tc>
          <w:tcPr>
            <w:tcW w:type="dxa" w:w="3324"/>
          </w:tcPr>
          <w:p>
            <w:r>
              <w:rPr>
                <w:rFonts w:ascii="Consolas" w:hAnsi="Consolas"/>
                <w:sz w:val="17"/>
              </w:rPr>
              <w:t>plan-feature</w:t>
            </w:r>
          </w:p>
        </w:tc>
        <w:tc>
          <w:tcPr>
            <w:tcW w:type="dxa" w:w="3324"/>
          </w:tcPr>
          <w:p>
            <w:r>
              <w:rPr>
                <w:sz w:val="17"/>
              </w:rPr>
              <w:t>规格+计划,按"最可能变更"排序,存 docs/superpowers/</w:t>
            </w:r>
          </w:p>
        </w:tc>
        <w:tc>
          <w:tcPr>
            <w:tcW w:type="dxa" w:w="3324"/>
          </w:tcPr>
          <w:p/>
        </w:tc>
      </w:tr>
      <w:tr>
        <w:tc>
          <w:tcPr>
            <w:tcW w:type="dxa" w:w="3324"/>
          </w:tcPr>
          <w:p>
            <w:r>
              <w:rPr>
                <w:rFonts w:ascii="Consolas" w:hAnsi="Consolas"/>
                <w:sz w:val="17"/>
              </w:rPr>
              <w:t>verify-psa</w:t>
            </w:r>
          </w:p>
        </w:tc>
        <w:tc>
          <w:tcPr>
            <w:tcW w:type="dxa" w:w="3324"/>
          </w:tcPr>
          <w:p>
            <w:r>
              <w:rPr>
                <w:sz w:val="17"/>
              </w:rPr>
              <w:t>分级验证门 + 对抗审查升级规则 + 夹具真实性(§10.1)</w:t>
            </w:r>
          </w:p>
        </w:tc>
        <w:tc>
          <w:tcPr>
            <w:tcW w:type="dxa" w:w="3324"/>
          </w:tcPr>
          <w:p/>
        </w:tc>
      </w:tr>
      <w:tr>
        <w:tc>
          <w:tcPr>
            <w:tcW w:type="dxa" w:w="3324"/>
          </w:tcPr>
          <w:p>
            <w:r>
              <w:rPr>
                <w:rFonts w:ascii="Consolas" w:hAnsi="Consolas"/>
                <w:sz w:val="17"/>
              </w:rPr>
              <w:t>change-quiz</w:t>
            </w:r>
          </w:p>
        </w:tc>
        <w:tc>
          <w:tcPr>
            <w:tcW w:type="dxa" w:w="3324"/>
          </w:tcPr>
          <w:p>
            <w:r>
              <w:rPr>
                <w:sz w:val="17"/>
              </w:rPr>
              <w:t>合并前用户理解关卡(可显式免试,答案卷存档 docs/reviews/)</w:t>
            </w:r>
          </w:p>
        </w:tc>
        <w:tc>
          <w:tcPr>
            <w:tcW w:type="dxa" w:w="3324"/>
          </w:tcPr>
          <w:p/>
        </w:tc>
      </w:tr>
      <w:tr>
        <w:tc>
          <w:tcPr>
            <w:tcW w:type="dxa" w:w="3324"/>
          </w:tcPr>
          <w:p>
            <w:r>
              <w:rPr>
                <w:rFonts w:ascii="Consolas" w:hAnsi="Consolas"/>
                <w:sz w:val="17"/>
              </w:rPr>
              <w:t>riskspectrum-parity</w:t>
            </w:r>
          </w:p>
        </w:tc>
        <w:tc>
          <w:tcPr>
            <w:tcW w:type="dxa" w:w="3324"/>
          </w:tcPr>
          <w:p>
            <w:r>
              <w:rPr>
                <w:sz w:val="17"/>
              </w:rPr>
              <w:t>活对标台账:已达/超越(带证据与日期)vs 差距(排序)</w:t>
            </w:r>
          </w:p>
        </w:tc>
        <w:tc>
          <w:tcPr>
            <w:tcW w:type="dxa" w:w="3324"/>
          </w:tcPr>
          <w:p/>
        </w:tc>
      </w:tr>
      <w:tr>
        <w:tc>
          <w:tcPr>
            <w:tcW w:type="dxa" w:w="3324"/>
          </w:tcPr>
          <w:p>
            <w:r>
              <w:rPr>
                <w:rFonts w:ascii="Consolas" w:hAnsi="Consolas"/>
                <w:sz w:val="17"/>
              </w:rPr>
              <w:t>regulatory-traceability</w:t>
            </w:r>
          </w:p>
        </w:tc>
        <w:tc>
          <w:tcPr>
            <w:tcW w:type="dxa" w:w="3324"/>
          </w:tcPr>
          <w:p>
            <w:r>
              <w:rPr>
                <w:sz w:val="17"/>
              </w:rPr>
              <w:t>监管面向输出的证据链清单(数字→版本→设置→出处)</w:t>
            </w:r>
          </w:p>
        </w:tc>
        <w:tc>
          <w:tcPr>
            <w:tcW w:type="dxa" w:w="3324"/>
          </w:tcPr>
          <w:p/>
        </w:tc>
      </w:tr>
      <w:tr>
        <w:tc>
          <w:tcPr>
            <w:tcW w:type="dxa" w:w="3324"/>
          </w:tcPr>
          <w:p>
            <w:r>
              <w:rPr>
                <w:b/>
                <w:sz w:val="17"/>
              </w:rPr>
              <w:t>评审/实现代理</w:t>
            </w:r>
          </w:p>
        </w:tc>
        <w:tc>
          <w:tcPr>
            <w:tcW w:type="dxa" w:w="3324"/>
          </w:tcPr>
          <w:p>
            <w:r>
              <w:rPr>
                <w:rFonts w:ascii="Consolas" w:hAnsi="Consolas"/>
                <w:sz w:val="17"/>
              </w:rPr>
              <w:t>engine-reviewer</w:t>
            </w:r>
          </w:p>
        </w:tc>
        <w:tc>
          <w:tcPr>
            <w:tcW w:type="dxa" w:w="3324"/>
          </w:tcPr>
          <w:p>
            <w:r>
              <w:rPr>
                <w:sz w:val="17"/>
              </w:rPr>
              <w:t>数值对抗评审(psaengine/bess 改动强制;两轮制)</w:t>
            </w:r>
          </w:p>
        </w:tc>
      </w:tr>
      <w:tr>
        <w:tc>
          <w:tcPr>
            <w:tcW w:type="dxa" w:w="3324"/>
          </w:tcPr>
          <w:p>
            <w:r>
              <w:rPr>
                <w:rFonts w:ascii="Consolas" w:hAnsi="Consolas"/>
                <w:sz w:val="17"/>
              </w:rPr>
              <w:t>domain-reviewer</w:t>
            </w:r>
          </w:p>
        </w:tc>
        <w:tc>
          <w:tcPr>
            <w:tcW w:type="dxa" w:w="3324"/>
          </w:tcPr>
          <w:p>
            <w:r>
              <w:rPr>
                <w:sz w:val="17"/>
              </w:rPr>
              <w:t>PSA 方法学/数据分级/报告口径评审(聚合声明、AI 产物)</w:t>
            </w:r>
          </w:p>
        </w:tc>
        <w:tc>
          <w:tcPr>
            <w:tcW w:type="dxa" w:w="3324"/>
          </w:tcPr>
          <w:p/>
        </w:tc>
      </w:tr>
      <w:tr>
        <w:tc>
          <w:tcPr>
            <w:tcW w:type="dxa" w:w="3324"/>
          </w:tcPr>
          <w:p>
            <w:r>
              <w:rPr>
                <w:rFonts w:ascii="Consolas" w:hAnsi="Consolas"/>
                <w:sz w:val="17"/>
              </w:rPr>
              <w:t>frontend-dev</w:t>
            </w:r>
          </w:p>
        </w:tc>
        <w:tc>
          <w:tcPr>
            <w:tcW w:type="dxa" w:w="3324"/>
          </w:tcPr>
          <w:p>
            <w:r>
              <w:rPr>
                <w:sz w:val="17"/>
              </w:rPr>
              <w:t>按规格执行 UI 的实现代理(Sonnet;禁碰清单/收口门内建)</w:t>
            </w:r>
          </w:p>
        </w:tc>
        <w:tc>
          <w:tcPr>
            <w:tcW w:type="dxa" w:w="3324"/>
          </w:tcPr>
          <w:p/>
        </w:tc>
      </w:tr>
    </w:tbl>
    <w:p>
      <w:pPr>
        <w:pStyle w:val="Heading2"/>
      </w:pPr>
      <w:r>
        <w:t>10.3 规格驱动交付流程</w:t>
      </w:r>
    </w:p>
    <w:p>
      <w:pPr>
        <w:jc w:val="center"/>
      </w:pPr>
      <w:r>
        <w:drawing>
          <wp:inline xmlns:a="http://schemas.openxmlformats.org/drawingml/2006/main" xmlns:pic="http://schemas.openxmlformats.org/drawingml/2006/picture">
            <wp:extent cx="5976000" cy="1290273"/>
            <wp:docPr id="10" name="Pict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5976000" cy="1290273"/>
                    </a:xfrm>
                    <a:prstGeom prst="rect"/>
                  </pic:spPr>
                </pic:pic>
              </a:graphicData>
            </a:graphic>
          </wp:inline>
        </w:drawing>
      </w:r>
    </w:p>
    <w:p>
      <w:pPr>
        <w:jc w:val="left"/>
      </w:pPr>
      <w:r>
        <w:rPr>
          <w:b/>
          <w:color w:val="66788C"/>
          <w:sz w:val="18"/>
        </w:rPr>
        <w:t>图 10</w:t>
      </w:r>
      <w:r>
        <w:rPr>
          <w:color w:val="66788C"/>
          <w:sz w:val="18"/>
        </w:rPr>
        <w:t xml:space="preserve"> · 每特性交付流水线。产物均入库可查:规格/计划</w:t>
        <w:br/>
        <w:t xml:space="preserve">    (</w:t>
      </w:r>
      <w:r>
        <w:rPr>
          <w:rFonts w:ascii="Consolas" w:hAnsi="Consolas"/>
          <w:color w:val="66788C"/>
          <w:sz w:val="18"/>
        </w:rPr>
        <w:t>docs/superpowers/specs|plans/</w:t>
      </w:r>
      <w:r>
        <w:rPr>
          <w:color w:val="66788C"/>
          <w:sz w:val="18"/>
        </w:rPr>
        <w:t>,日期命名)、评审记录(规格内或</w:t>
        <w:br/>
        <w:t xml:space="preserve">    </w:t>
      </w:r>
      <w:r>
        <w:rPr>
          <w:rFonts w:ascii="Consolas" w:hAnsi="Consolas"/>
          <w:color w:val="66788C"/>
          <w:sz w:val="18"/>
        </w:rPr>
        <w:t>docs/reviews/</w:t>
      </w:r>
      <w:r>
        <w:rPr>
          <w:color w:val="66788C"/>
          <w:sz w:val="18"/>
        </w:rPr>
        <w:t>)、收口台账(</w:t>
      </w:r>
      <w:r>
        <w:rPr>
          <w:rFonts w:ascii="Consolas" w:hAnsi="Consolas"/>
          <w:color w:val="66788C"/>
          <w:sz w:val="18"/>
        </w:rPr>
        <w:t>ROADMAP.md</w:t>
      </w:r>
      <w:r>
        <w:rPr>
          <w:color w:val="66788C"/>
          <w:sz w:val="18"/>
        </w:rPr>
        <w:t xml:space="preserve"> 逐条带提交哈希)。</w:t>
        <w:br/>
        <w:t xml:space="preserve">    quiz 可由用户显式免试,免试与答案卷同样存档——流程留痕本身就是证据链的一部分。</w:t>
      </w:r>
    </w:p>
    <w:p>
      <w:pPr>
        <w:pStyle w:val="Heading1"/>
      </w:pPr>
      <w:r>
        <w:t>11 局限与路线图</w:t>
      </w:r>
    </w:p>
    <w:p>
      <w:pPr>
        <w:pStyle w:val="ListBullet"/>
      </w:pPr>
      <w:r>
        <w:rPr>
          <w:b/>
        </w:rPr>
        <w:t>数据成熟度</w:t>
      </w:r>
      <w:r>
        <w:rPr/>
        <w:t>:内置库全为 C/D 级(设计如此)——正式 QRA 交付前须项目实测/贝叶斯升级;</w:t>
        <w:br/>
        <w:t xml:space="preserve">      模板 IE 频率与场景库存在口径差(10 MWh 系统级 vs 通用舱级先验),文档已注明,须按项目统一;</w:t>
      </w:r>
    </w:p>
    <w:p>
      <w:pPr>
        <w:pStyle w:val="ListBullet"/>
      </w:pPr>
      <w:r>
        <w:rPr>
          <w:b/>
        </w:rPr>
        <w:t>规模</w:t>
      </w:r>
      <w:r>
        <w:rPr/>
        <w:t>:纯 Python 内核舒适区数百事件;万级事件走 CUDD 后端(macOS 已实证编译,</w:t>
        <w:br/>
        <w:t xml:space="preserve">      Linux CI 待 GitHub 远程激活);无动态变量重排;</w:t>
      </w:r>
    </w:p>
    <w:p>
      <w:pPr>
        <w:pStyle w:val="ListBullet"/>
      </w:pPr>
      <w:r>
        <w:rPr>
          <w:b/>
        </w:rPr>
        <w:t>范围</w:t>
      </w:r>
      <w:r>
        <w:rPr/>
        <w:t>:静态 FTA/ETA——不做动态故障树(SPARE/SEQ 门)、不做 Level-2 物理后果耦合</w:t>
        <w:br/>
        <w:t xml:space="preserve">      (C1–C5 为频率分级接口);初因频率通道为"每割集一初因"约定,逐初因分组的精确模式列账本 Gap #9;</w:t>
      </w:r>
    </w:p>
    <w:p>
      <w:pPr>
        <w:pStyle w:val="ListBullet"/>
      </w:pPr>
      <w:r>
        <w:rPr>
          <w:b/>
        </w:rPr>
        <w:t>协同</w:t>
      </w:r>
      <w:r>
        <w:rPr/>
        <w:t>:评审签发 + 本地三角色认证已落地(§4.14),实时协同(CRDT)经评估后</w:t>
        <w:br/>
        <w:t xml:space="preserve">      </w:t>
      </w:r>
      <w:r>
        <w:rPr>
          <w:b/>
        </w:rPr>
        <w:t>明确裁剪</w:t>
      </w:r>
      <w:r>
        <w:rPr/>
        <w:t>——版本库 + 乐观并发已覆盖团队串行协作;GitHub 远程仓库未建,</w:t>
        <w:br/>
        <w:t xml:space="preserve">      CI / CUDD Linux 验证 / 异地协作因此待激活;</w:t>
      </w:r>
    </w:p>
    <w:p>
      <w:pPr>
        <w:pStyle w:val="ListBullet"/>
      </w:pPr>
      <w:r>
        <w:rPr>
          <w:b/>
        </w:rPr>
        <w:t>组合总览口径</w:t>
      </w:r>
      <w:r>
        <w:rPr/>
        <w:t>:分析案例覆盖导出当时的单棵事件树,跨项目比较已在页面披露该口径;</w:t>
        <w:br/>
        <w:t xml:space="preserve">      按勾选集合并导出的"聚合范围钉扎"为路线图候选(§5.4);</w:t>
      </w:r>
    </w:p>
    <w:p>
      <w:pPr>
        <w:pStyle w:val="ListBullet"/>
      </w:pPr>
      <w:r>
        <w:rPr>
          <w:b/>
        </w:rPr>
        <w:t>AI 上线</w:t>
      </w:r>
      <w:r>
        <w:rPr/>
        <w:t>:管线离线全绿,真实供应商首跑与金例 Batch 基线待 API key(runbook 就绪);</w:t>
      </w:r>
    </w:p>
    <w:p>
      <w:pPr>
        <w:pStyle w:val="ListBullet"/>
      </w:pPr>
      <w:r>
        <w:rPr>
          <w:b/>
        </w:rPr>
        <w:t>已知 UI 跟进</w:t>
      </w:r>
      <w:r>
        <w:rPr/>
        <w:t>:FTA 画布 &lt;500px 视口塌缩(桌面不受影响)、开发模式 StrictMode</w:t>
        <w:br/>
        <w:t xml:space="preserve">      下 reactflow 缩放按钮空操作(生产构建正常)——均已建跟进任务。</w:t>
      </w:r>
    </w:p>
    <w:p>
      <w:pPr>
        <w:pStyle w:val="Heading1"/>
      </w:pPr>
      <w:r>
        <w:t>12 参考文献</w:t>
      </w:r>
    </w:p>
    <w:p>
      <w:pPr>
        <w:pStyle w:val="ListNumber"/>
      </w:pPr>
      <w:r>
        <w:rPr/>
        <w:t>[1]</w:t>
      </w:r>
      <w:r>
        <w:rPr/>
        <w:t xml:space="preserve"> Bryant, R.E. “Graph-Based Algorithms for Boolean Function Manipulation.” </w:t>
      </w:r>
      <w:r>
        <w:rPr>
          <w:i/>
        </w:rPr>
        <w:t>IEEE Trans. Computers</w:t>
      </w:r>
      <w:r>
        <w:rPr/>
        <w:t xml:space="preserve"> C-35(8), 1986.</w:t>
      </w:r>
    </w:p>
    <w:p>
      <w:pPr>
        <w:pStyle w:val="ListNumber"/>
      </w:pPr>
      <w:r>
        <w:rPr/>
        <w:t>[2]</w:t>
      </w:r>
      <w:r>
        <w:rPr/>
        <w:t xml:space="preserve"> Rauzy, A. “New Algorithms for Fault Trees Analysis.” </w:t>
      </w:r>
      <w:r>
        <w:rPr>
          <w:i/>
        </w:rPr>
        <w:t>Reliability Engineering &amp; System Safety</w:t>
      </w:r>
      <w:r>
        <w:rPr/>
        <w:t xml:space="preserve"> 40(3), 1993.</w:t>
      </w:r>
    </w:p>
    <w:p>
      <w:pPr>
        <w:pStyle w:val="ListNumber"/>
      </w:pPr>
      <w:r>
        <w:rPr/>
        <w:t>[3]</w:t>
      </w:r>
      <w:r>
        <w:rPr/>
        <w:t xml:space="preserve"> Fussell, J.B., Vesely, W.E. “A New Methodology for Obtaining Cut Sets for Fault Trees (MOCUS).” </w:t>
      </w:r>
      <w:r>
        <w:rPr>
          <w:i/>
        </w:rPr>
        <w:t>Trans. ANS</w:t>
      </w:r>
      <w:r>
        <w:rPr/>
        <w:t xml:space="preserve"> 15, 1972.</w:t>
      </w:r>
    </w:p>
    <w:p>
      <w:pPr>
        <w:pStyle w:val="ListNumber"/>
      </w:pPr>
      <w:r>
        <w:rPr/>
        <w:t>[4]</w:t>
      </w:r>
      <w:r>
        <w:rPr/>
        <w:t xml:space="preserve"> Vesely, W.E. 等. </w:t>
      </w:r>
      <w:r>
        <w:rPr>
          <w:i/>
        </w:rPr>
        <w:t>Fault Tree Handbook</w:t>
      </w:r>
      <w:r>
        <w:rPr/>
        <w:t>, NUREG-0492, US NRC, 1981.</w:t>
      </w:r>
    </w:p>
    <w:p>
      <w:pPr>
        <w:pStyle w:val="ListNumber"/>
      </w:pPr>
      <w:r>
        <w:rPr/>
        <w:t>[5]</w:t>
      </w:r>
      <w:r>
        <w:rPr/>
        <w:t xml:space="preserve"> Mosleh, A. 等. </w:t>
      </w:r>
      <w:r>
        <w:rPr>
          <w:i/>
        </w:rPr>
        <w:t>Guidelines on Modeling Common-Cause Failures in Probabilistic Risk Assessment</w:t>
      </w:r>
      <w:r>
        <w:rPr/>
        <w:t>, NUREG/CR-5485, 1998.(β/MGL/α/φ 与错峰公式来源)</w:t>
      </w:r>
    </w:p>
    <w:p>
      <w:pPr>
        <w:pStyle w:val="ListNumber"/>
      </w:pPr>
      <w:r>
        <w:rPr/>
        <w:t>[6]</w:t>
      </w:r>
      <w:r>
        <w:rPr/>
        <w:t xml:space="preserve"> Rauzy, A. </w:t>
      </w:r>
      <w:r>
        <w:rPr/>
        <w:t>XFTA: An Open-PSA Fault Tree Engine 手册</w:t>
      </w:r>
      <w:r>
        <w:rPr/>
        <w:t>, 2012–.</w:t>
      </w:r>
    </w:p>
    <w:p>
      <w:pPr>
        <w:pStyle w:val="ListNumber"/>
      </w:pPr>
      <w:r>
        <w:rPr/>
        <w:t>[7]</w:t>
      </w:r>
      <w:r>
        <w:rPr/>
        <w:t xml:space="preserve"> Dutuit, Y., Rauzy, A. “A Linear-Time Algorithm to Find Modules of Fault Trees.” </w:t>
      </w:r>
      <w:r>
        <w:rPr>
          <w:i/>
        </w:rPr>
        <w:t>IEEE Trans. Reliability</w:t>
      </w:r>
      <w:r>
        <w:rPr/>
        <w:t xml:space="preserve"> 45(3), 1996.</w:t>
      </w:r>
    </w:p>
    <w:p>
      <w:pPr>
        <w:pStyle w:val="ListNumber"/>
      </w:pPr>
      <w:r>
        <w:rPr/>
        <w:t>[8]</w:t>
      </w:r>
      <w:r>
        <w:rPr/>
        <w:t xml:space="preserve"> Basgöze, D. 等. </w:t>
      </w:r>
      <w:r>
        <w:rPr/>
        <w:t>“BDDs Strike Back: Efficient Analysis of Static and Dynamic Fault Trees.”</w:t>
      </w:r>
      <w:r>
        <w:rPr/>
        <w:t xml:space="preserve"> NFM 2022.</w:t>
      </w:r>
    </w:p>
    <w:p>
      <w:pPr>
        <w:pStyle w:val="ListNumber"/>
      </w:pPr>
      <w:r>
        <w:rPr/>
        <w:t>[9]</w:t>
      </w:r>
      <w:r>
        <w:rPr/>
        <w:t xml:space="preserve"> Bäckström, O. 等. </w:t>
      </w:r>
      <w:r>
        <w:rPr/>
        <w:t>“The RiskSpectrum MCS BDD Algorithm.”</w:t>
      </w:r>
      <w:r>
        <w:rPr/>
        <w:t xml:space="preserve"> PSAM12;及 </w:t>
      </w:r>
      <w:r>
        <w:rPr/>
        <w:t>MCUB 与 MCS-BDD 对比(PSAM14)</w:t>
      </w:r>
      <w:r>
        <w:rPr/>
        <w:t>.</w:t>
      </w:r>
    </w:p>
    <w:p>
      <w:pPr>
        <w:pStyle w:val="ListNumber"/>
      </w:pPr>
      <w:r>
        <w:rPr/>
        <w:t>[10]</w:t>
      </w:r>
      <w:r>
        <w:rPr/>
        <w:t xml:space="preserve"> Epstein, S., Rauzy, A. 等. </w:t>
      </w:r>
      <w:r>
        <w:rPr/>
        <w:t>“The Open PSA Initiative for Next Generation PSA.”</w:t>
      </w:r>
      <w:r>
        <w:rPr/>
        <w:t>(模型交换格式 MEF)</w:t>
      </w:r>
    </w:p>
    <w:p>
      <w:pPr>
        <w:pStyle w:val="ListNumber"/>
      </w:pPr>
      <w:r>
        <w:rPr/>
        <w:t>[11]</w:t>
      </w:r>
      <w:r>
        <w:rPr/>
        <w:t xml:space="preserve"> DNV GL. </w:t>
      </w:r>
      <w:r>
        <w:rPr>
          <w:i/>
        </w:rPr>
        <w:t>McMicken Battery Energy Storage System Event: Technical Analysis and Recommendations.</w:t>
      </w:r>
      <w:r>
        <w:rPr/>
        <w:t xml:space="preserve"> APS, 2020.</w:t>
      </w:r>
    </w:p>
    <w:p>
      <w:pPr>
        <w:pStyle w:val="ListNumber"/>
      </w:pPr>
      <w:r>
        <w:rPr/>
        <w:t>[12]</w:t>
      </w:r>
      <w:r>
        <w:rPr/>
        <w:t xml:space="preserve"> Srinivasan, L. 等. </w:t>
      </w:r>
      <w:r>
        <w:rPr/>
        <w:t>“Insights from EPRI's BESS Failure Incident Database: Analysis of Failure Root Cause.”</w:t>
      </w:r>
      <w:r>
        <w:rPr/>
        <w:t xml:space="preserve"> EPRI 白皮书(与 PNNL/TWAICE),2024;数据库见 </w:t>
      </w:r>
      <w:r>
        <w:rPr/>
        <w:t>EPRI Storage Wiki</w:t>
      </w:r>
      <w:r>
        <w:rPr/>
        <w:t>.</w:t>
      </w:r>
    </w:p>
    <w:p>
      <w:pPr>
        <w:pStyle w:val="ListNumber"/>
      </w:pPr>
      <w:r>
        <w:rPr/>
        <w:t>[13]</w:t>
      </w:r>
      <w:r>
        <w:rPr/>
        <w:t xml:space="preserve"> Sandia National Laboratories 离气/VOC 探测实证,</w:t>
      </w:r>
      <w:r>
        <w:rPr>
          <w:i/>
        </w:rPr>
        <w:t>J. Electrochem. Soc.</w:t>
      </w:r>
      <w:r>
        <w:rPr/>
        <w:t xml:space="preserve"> 171, 2024. DOI 10.1149/1945-7111/ad2440.</w:t>
      </w:r>
    </w:p>
    <w:p>
      <w:pPr>
        <w:pStyle w:val="ListNumber"/>
      </w:pPr>
      <w:r>
        <w:rPr/>
        <w:t>[14]</w:t>
      </w:r>
      <w:r>
        <w:rPr/>
        <w:t xml:space="preserve"> </w:t>
      </w:r>
      <w:r>
        <w:rPr/>
        <w:t>XFTA 与 SCRAM 基准研究</w:t>
      </w:r>
      <w:r>
        <w:rPr/>
        <w:t xml:space="preserve">(2023)及 </w:t>
      </w:r>
      <w:r>
        <w:rPr/>
        <w:t>SAPHSOLVE/XFTA/SCRAM 含 CCF 预基准</w:t>
      </w:r>
      <w:r>
        <w:rPr/>
        <w:t>.</w:t>
      </w:r>
    </w:p>
    <w:p>
      <w:pPr>
        <w:pStyle w:val="ListNumber"/>
      </w:pPr>
      <w:r>
        <w:rPr/>
        <w:t>[15]</w:t>
      </w:r>
      <w:r>
        <w:rPr/>
        <w:t xml:space="preserve"> </w:t>
      </w:r>
      <w:r>
        <w:rPr/>
        <w:t>“Multi-Scale Risk-Informed Comprehensive Assessment Methodology for Li-BESS.”</w:t>
      </w:r>
      <w:r>
        <w:rPr/>
        <w:t xml:space="preserve"> 2024;及 </w:t>
      </w:r>
      <w:r>
        <w:rPr/>
        <w:t>FTA+模糊贝叶斯网络的储能爆燃风险框架</w:t>
      </w:r>
      <w:r>
        <w:rPr/>
        <w:t>, 2025/26.</w:t>
      </w:r>
    </w:p>
    <w:p>
      <w:pPr>
        <w:pStyle w:val="ListNumber"/>
      </w:pPr>
      <w:r>
        <w:rPr/>
        <w:t>[16]</w:t>
      </w:r>
      <w:r>
        <w:rPr/>
        <w:t xml:space="preserve"> </w:t>
      </w:r>
      <w:r>
        <w:rPr/>
        <w:t>“Impact of Generative AI (LLMs) on PRA.”</w:t>
      </w:r>
      <w:r>
        <w:rPr/>
        <w:t xml:space="preserve"> arXiv:2406.01133.</w:t>
      </w:r>
    </w:p>
    <w:p>
      <w:pPr>
        <w:pStyle w:val="ListNumber"/>
      </w:pPr>
      <w:r>
        <w:rPr/>
        <w:t>[17]</w:t>
      </w:r>
      <w:r>
        <w:rPr/>
        <w:t xml:space="preserve"> </w:t>
      </w:r>
      <w:r>
        <w:rPr/>
        <w:t>“Facilitating Fault Tree Analysis with Generative AI.”</w:t>
      </w:r>
      <w:r>
        <w:rPr/>
        <w:t xml:space="preserve"> Springer, 2025;另见 </w:t>
      </w:r>
      <w:r>
        <w:rPr/>
        <w:t>LLM 产品风险评估实证(Risk Analysis)</w:t>
      </w:r>
      <w:r>
        <w:rPr/>
        <w:t>.</w:t>
      </w:r>
    </w:p>
    <w:p>
      <w:pPr>
        <w:pStyle w:val="ListNumber"/>
      </w:pPr>
      <w:r>
        <w:rPr/>
        <w:t>[18]</w:t>
      </w:r>
      <w:r>
        <w:rPr/>
        <w:t xml:space="preserve"> </w:t>
      </w:r>
      <w:r>
        <w:rPr/>
        <w:t>RiskSpectrum PSA 产品页</w:t>
      </w:r>
      <w:r>
        <w:rPr/>
        <w:t xml:space="preserve"> 与 </w:t>
      </w:r>
      <w:r>
        <w:rPr/>
        <w:t>技术信息</w:t>
      </w:r>
      <w:r>
        <w:rPr/>
        <w:t>(Lloyd's Register;全球约 60% 核电站采用)。</w:t>
      </w:r>
    </w:p>
    <w:p>
      <w:pPr>
        <w:pStyle w:val="ListNumber"/>
      </w:pPr>
      <w:r>
        <w:rPr/>
        <w:t>[19]</w:t>
      </w:r>
      <w:r>
        <w:rPr/>
        <w:t xml:space="preserve"> </w:t>
      </w:r>
      <w:r>
        <w:rPr/>
        <w:t>SAPHIRE 8 用户指南</w:t>
      </w:r>
      <w:r>
        <w:rPr/>
        <w:t>(NUREG/CR-7039,NRC/INL);</w:t>
      </w:r>
      <w:r>
        <w:rPr/>
        <w:t>事件树成功分支处理(OSTI)</w:t>
      </w:r>
      <w:r>
        <w:rPr/>
        <w:t>.</w:t>
      </w:r>
    </w:p>
    <w:p>
      <w:pPr>
        <w:pStyle w:val="ListNumber"/>
      </w:pPr>
      <w:r>
        <w:rPr/>
        <w:t>[20]</w:t>
      </w:r>
      <w:r>
        <w:rPr/>
        <w:t xml:space="preserve"> </w:t>
      </w:r>
      <w:r>
        <w:rPr/>
        <w:t>EPRI CAFTA 产品资料</w:t>
      </w:r>
      <w:r>
        <w:rPr/>
        <w:t xml:space="preserve"> 与 </w:t>
      </w:r>
      <w:r>
        <w:rPr/>
        <w:t>CAFTA 技术包</w:t>
      </w:r>
      <w:r>
        <w:rPr/>
        <w:t xml:space="preserve">;FinPSA 见 </w:t>
      </w:r>
      <w:r>
        <w:rPr/>
        <w:t>VTT FinPSA</w:t>
      </w:r>
      <w:r>
        <w:rPr/>
        <w:t xml:space="preserve">;SCRAM 见 </w:t>
      </w:r>
      <w:r>
        <w:rPr/>
        <w:t>scram-pra.org</w:t>
      </w:r>
      <w:r>
        <w:rPr/>
        <w:t>.</w:t>
      </w:r>
    </w:p>
    <w:p>
      <w:pPr>
        <w:pStyle w:val="ListNumber"/>
      </w:pPr>
      <w:r>
        <w:rPr/>
        <w:t>[21]</w:t>
      </w:r>
      <w:r>
        <w:rPr/>
        <w:t xml:space="preserve"> Isograph. </w:t>
      </w:r>
      <w:r>
        <w:rPr/>
        <w:t>FaultTree+ 故障树分析</w:t>
      </w:r>
      <w:r>
        <w:rPr/>
        <w:t xml:space="preserve"> 与 </w:t>
      </w:r>
      <w:r>
        <w:rPr/>
        <w:t>事件树分析模块</w:t>
      </w:r>
      <w:r>
        <w:rPr/>
        <w:t>(Reliability Workbench 产品文档;MCS+精确上界、β/MGL/α/β-BFR CCF、初因-使能分析、成功态处理口径)。</w:t>
      </w:r>
    </w:p>
    <w:p>
      <w:pPr>
        <w:pStyle w:val="ListNumber"/>
      </w:pPr>
      <w:r>
        <w:rPr/>
        <w:t>[22]</w:t>
      </w:r>
      <w:r>
        <w:rPr/>
        <w:t xml:space="preserve"> Papadopoulos, Y. 等. HiP-HOPS(Hierarchically Performed Hazard Origin &amp; Propagation Studies)——架构模型+组件失效注记的故障树/FMEA 自动合成;AADL 侧同类见 </w:t>
      </w:r>
      <w:r>
        <w:rPr/>
        <w:t>Automated FTA from AADL Models</w:t>
      </w:r>
      <w:r>
        <w:rPr/>
        <w:t>.</w:t>
      </w:r>
    </w:p>
    <w:p>
      <w:pPr>
        <w:pStyle w:val="ListNumber"/>
      </w:pPr>
      <w:r>
        <w:rPr/>
        <w:t>[23]</w:t>
      </w:r>
      <w:r>
        <w:rPr/>
        <w:t xml:space="preserve"> Batteux, M., Prosvirnova, T., Rauzy, A. </w:t>
      </w:r>
      <w:r>
        <w:rPr/>
        <w:t>“The AltaRica 3.0 Project for Model-Based Safety Assessment.”</w:t>
      </w:r>
    </w:p>
    <w:p>
      <w:pPr>
        <w:pStyle w:val="ListNumber"/>
      </w:pPr>
      <w:r>
        <w:rPr/>
        <w:t>[24]</w:t>
      </w:r>
      <w:r>
        <w:rPr/>
        <w:t xml:space="preserve"> Shetiya 等. “Fault Tree Analysis Generation Using GenAI with an Autonomy Sensor Use-case.” </w:t>
      </w:r>
      <w:r>
        <w:rPr>
          <w:i/>
        </w:rPr>
        <w:t>SAE Int. J. of Connected and Automated Vehicles</w:t>
      </w:r>
      <w:r>
        <w:rPr/>
        <w:t>, 2026.</w:t>
      </w:r>
    </w:p>
    <w:p>
      <w:pPr>
        <w:pStyle w:val="ListNumber"/>
      </w:pPr>
      <w:r>
        <w:rPr/>
        <w:t>[25]</w:t>
      </w:r>
      <w:r>
        <w:rPr/>
        <w:t xml:space="preserve"> El Hassani 等. </w:t>
      </w:r>
      <w:r>
        <w:rPr/>
        <w:t>“Integrating LLMs for Improved FMEA: Framework and Case Study.”</w:t>
      </w:r>
      <w:r>
        <w:rPr/>
        <w:t xml:space="preserve"> </w:t>
      </w:r>
      <w:r>
        <w:rPr>
          <w:i/>
        </w:rPr>
        <w:t>Design Science / Proc. Design Society</w:t>
      </w:r>
      <w:r>
        <w:rPr/>
        <w:t>, 2025.</w:t>
      </w:r>
    </w:p>
    <w:p>
      <w:pPr>
        <w:pStyle w:val="ListNumber"/>
      </w:pPr>
      <w:r>
        <w:rPr/>
        <w:t>[26]</w:t>
      </w:r>
      <w:r>
        <w:rPr/>
        <w:t xml:space="preserve"> </w:t>
      </w:r>
      <w:r>
        <w:rPr/>
        <w:t>“JFTA-Bench: Evaluate LLM's Ability of Tracking and Analyzing Malfunctions Using Fault Trees.”</w:t>
      </w:r>
      <w:r>
        <w:rPr/>
        <w:t xml:space="preserve"> arXiv:2603.22978, 2026.</w:t>
      </w:r>
    </w:p>
    <w:p>
      <w:r>
        <w:t>文档编号 BESS-PSA-TD-001 Rev C · 2026-07-14 · 由项目仓库状态生成:测试计数、数值锚点与</w:t>
        <w:br/>
        <w:t xml:space="preserve">  能力声明均可在 </w:t>
      </w:r>
      <w:r>
        <w:rPr>
          <w:rFonts w:ascii="Consolas" w:hAnsi="Consolas"/>
          <w:sz w:val="19"/>
        </w:rPr>
        <w:t>tests/</w:t>
      </w:r>
      <w:r>
        <w:rPr/>
        <w:t>、</w:t>
      </w:r>
      <w:r>
        <w:rPr>
          <w:rFonts w:ascii="Consolas" w:hAnsi="Consolas"/>
          <w:sz w:val="19"/>
        </w:rPr>
        <w:t>tests/benchmark/</w:t>
      </w:r>
      <w:r>
        <w:rPr/>
        <w:t xml:space="preserve"> 与 </w:t>
      </w:r>
      <w:r>
        <w:rPr>
          <w:rFonts w:ascii="Consolas" w:hAnsi="Consolas"/>
          <w:sz w:val="19"/>
        </w:rPr>
        <w:t>docs/superpowers/</w:t>
      </w:r>
      <w:r>
        <w:rPr/>
        <w:br/>
        <w:t xml:space="preserve">  中复核。本工具输出用于工程决策前,请确认数据分级满足交付要求(表 9);表 12 能力矩阵中商用工具各列以其公开文档口径为准。</w:t>
      </w:r>
    </w:p>
    <w:sectPr w:rsidR="00FC693F" w:rsidRPr="0006063C"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Calibri" w:hAnsi="Calibri"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等线"/>
      <w:b/>
      <w:bCs/>
      <w:color w:val="16202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等线"/>
      <w:b/>
      <w:bCs/>
      <w:color w:val="16202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等线"/>
      <w:b/>
      <w:bCs/>
      <w:color w:val="1620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等线"/>
      <w:b/>
      <w:color w:val="16202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