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15169">
      <w:r>
        <w:rPr>
          <w:rFonts w:ascii="微软雅黑" w:hAnsi="微软雅黑" w:eastAsia="微软雅黑"/>
          <w:b/>
          <w:sz w:val="52"/>
        </w:rPr>
        <w:t>6月第4周 项目进展周报</w:t>
      </w:r>
    </w:p>
    <w:p w14:paraId="3670C96E">
      <w:r>
        <w:rPr>
          <w:rFonts w:ascii="微软雅黑" w:hAnsi="微软雅黑" w:eastAsia="微软雅黑"/>
          <w:b/>
          <w:sz w:val="36"/>
        </w:rPr>
        <w:t>项目进展周报</w:t>
      </w:r>
    </w:p>
    <w:p w14:paraId="1F185AF7">
      <w:r>
        <w:rPr>
          <w:rFonts w:ascii="微软雅黑" w:hAnsi="微软雅黑" w:eastAsia="微软雅黑"/>
          <w:b/>
          <w:sz w:val="22"/>
        </w:rPr>
        <w:t>报告周期：2026年6月1</w:t>
      </w:r>
      <w:r>
        <w:rPr>
          <w:rFonts w:hint="default"/>
          <w:b/>
          <w:sz w:val="22"/>
          <w:lang w:val="en-US"/>
        </w:rPr>
        <w:t>5</w:t>
      </w:r>
      <w:r>
        <w:rPr>
          <w:rFonts w:ascii="微软雅黑" w:hAnsi="微软雅黑" w:eastAsia="微软雅黑"/>
          <w:b/>
          <w:sz w:val="22"/>
        </w:rPr>
        <w:t>日 - 2026年6月</w:t>
      </w:r>
      <w:r>
        <w:rPr>
          <w:rFonts w:hint="default"/>
          <w:b/>
          <w:sz w:val="22"/>
          <w:lang w:val="en-US"/>
        </w:rPr>
        <w:t>18</w:t>
      </w:r>
      <w:bookmarkStart w:id="0" w:name="_GoBack"/>
      <w:bookmarkEnd w:id="0"/>
      <w:r>
        <w:rPr>
          <w:rFonts w:ascii="微软雅黑" w:hAnsi="微软雅黑" w:eastAsia="微软雅黑"/>
          <w:b/>
          <w:sz w:val="22"/>
        </w:rPr>
        <w:t>日</w:t>
      </w:r>
    </w:p>
    <w:p w14:paraId="0A5B061A">
      <w:r>
        <w:rPr>
          <w:sz w:val="18"/>
        </w:rPr>
        <w:t>——————————————————————————————</w:t>
      </w:r>
    </w:p>
    <w:p w14:paraId="3BDBE37A">
      <w:r>
        <w:rPr>
          <w:rFonts w:ascii="微软雅黑" w:hAnsi="微软雅黑" w:eastAsia="微软雅黑"/>
          <w:b/>
          <w:sz w:val="32"/>
        </w:rPr>
        <w:t>一、核心任务进展</w:t>
      </w:r>
    </w:p>
    <w:p w14:paraId="55D34730">
      <w:r>
        <w:rPr>
          <w:rFonts w:ascii="微软雅黑" w:hAnsi="微软雅黑" w:eastAsia="微软雅黑"/>
          <w:b/>
          <w:sz w:val="30"/>
        </w:rPr>
        <w:t>1. LKS 控制方案设计与决策条件梳理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59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5C9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6F898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7879CE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29D9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0DC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LKS 控制方案设计</w:t>
            </w:r>
          </w:p>
        </w:tc>
        <w:tc>
          <w:tcPr>
            <w:tcW w:w="2880" w:type="dxa"/>
          </w:tcPr>
          <w:p w14:paraId="5440D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99BF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LKS 第一阶段方案设计，确定车道线检测在当前阶段默认有效，控制部分采用三预瞄点加权误差和比例转向输出，后续再补充 theta0 启控保持和横向加速度限幅。</w:t>
            </w:r>
          </w:p>
        </w:tc>
      </w:tr>
      <w:tr w14:paraId="2920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AD0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简化决策条件梳理</w:t>
            </w:r>
          </w:p>
        </w:tc>
        <w:tc>
          <w:tcPr>
            <w:tcW w:w="2880" w:type="dxa"/>
          </w:tcPr>
          <w:p w14:paraId="5565C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19EF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梳理 LKS 决策输入与退出条件，明确制动状态和主动换道状态需要在 GAASD 画布中判断；当前第一阶段采用低速、制动、驾驶员主动转向三类条件控制 controlEnabled。</w:t>
            </w:r>
          </w:p>
        </w:tc>
      </w:tr>
    </w:tbl>
    <w:p w14:paraId="07BFDC9F">
      <w:r>
        <w:rPr>
          <w:rFonts w:ascii="微软雅黑" w:hAnsi="微软雅黑" w:eastAsia="微软雅黑"/>
          <w:b/>
          <w:sz w:val="30"/>
        </w:rPr>
        <w:t>2. LKS 第一阶段画布工程搭建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2B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5DE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50E67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63AFB0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0155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09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LKS 画布工程创建</w:t>
            </w:r>
          </w:p>
        </w:tc>
        <w:tc>
          <w:tcPr>
            <w:tcW w:w="2880" w:type="dxa"/>
          </w:tcPr>
          <w:p w14:paraId="026DE8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FA5C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LKS 项目画布工程创建与基础结构搭建，采用常量输入和全局参数先完成离线阶段一验证链路，避免依赖尚不稳定的代码生成和自定义组件扫描。</w:t>
            </w:r>
          </w:p>
        </w:tc>
      </w:tr>
      <w:tr w14:paraId="2BA1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7E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预瞄距离与车道模型子系统</w:t>
            </w:r>
          </w:p>
        </w:tc>
        <w:tc>
          <w:tcPr>
            <w:tcW w:w="2880" w:type="dxa"/>
          </w:tcPr>
          <w:p w14:paraId="08E26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4C1CC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LKSPreviewDistance 预瞄距离计算子系统搭建，并完成三次车道多项式误差计算子系统 LanePolynomialEval 搭建。</w:t>
            </w:r>
          </w:p>
        </w:tc>
      </w:tr>
      <w:tr w14:paraId="0D73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0209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三预瞄点实例布置</w:t>
            </w:r>
          </w:p>
        </w:tc>
        <w:tc>
          <w:tcPr>
            <w:tcW w:w="2880" w:type="dxa"/>
          </w:tcPr>
          <w:p w14:paraId="45C87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7AFA5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Eval_P1、Eval_P2、Eval_P3 三个预瞄点误差计算实例布置，明确 x1 为 nearPreviewDistance，x2 为 previewDistance/2，x3 为 previewDistance。</w:t>
            </w:r>
          </w:p>
        </w:tc>
      </w:tr>
    </w:tbl>
    <w:p w14:paraId="035DEB2E">
      <w:r>
        <w:rPr>
          <w:rFonts w:ascii="微软雅黑" w:hAnsi="微软雅黑" w:eastAsia="微软雅黑"/>
          <w:b/>
          <w:sz w:val="30"/>
        </w:rPr>
        <w:t>3. 标准化组件与接口适配分析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33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8A54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713855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3D0D77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2B85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6B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误差融合与转向输出链路</w:t>
            </w:r>
          </w:p>
        </w:tc>
        <w:tc>
          <w:tcPr>
            <w:tcW w:w="2880" w:type="dxa"/>
          </w:tcPr>
          <w:p w14:paraId="36CAA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15DE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LKS 第一阶段常量输入与全局参数接入规划，搭建 LKSErrorFusion 三点误差加权融合，并完成 LKSSteerControl 转向控制输出模块。</w:t>
            </w:r>
          </w:p>
        </w:tc>
      </w:tr>
      <w:tr w14:paraId="5DCD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EE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决策与门控输出链路</w:t>
            </w:r>
          </w:p>
        </w:tc>
        <w:tc>
          <w:tcPr>
            <w:tcW w:w="2880" w:type="dxa"/>
          </w:tcPr>
          <w:p w14:paraId="20F633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6A891A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 LKSDecision 决策模块，完成 controlEnabled 对 steerRad 的门控输出，形成 lksSteerRad 和 controlEnabled 的示波器观测链路。</w:t>
            </w:r>
          </w:p>
        </w:tc>
      </w:tr>
    </w:tbl>
    <w:p w14:paraId="0C0B3DC3">
      <w:r>
        <w:rPr>
          <w:sz w:val="18"/>
        </w:rPr>
        <w:t>——————————————————————————————</w:t>
      </w:r>
    </w:p>
    <w:p w14:paraId="0A7750A6">
      <w:r>
        <w:rPr>
          <w:rFonts w:ascii="微软雅黑" w:hAnsi="微软雅黑" w:eastAsia="微软雅黑"/>
          <w:b/>
          <w:sz w:val="32"/>
        </w:rPr>
        <w:t>二、风险与问题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6A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337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风险项</w:t>
            </w:r>
          </w:p>
        </w:tc>
        <w:tc>
          <w:tcPr>
            <w:tcW w:w="2880" w:type="dxa"/>
          </w:tcPr>
          <w:p w14:paraId="0300EF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影响范围</w:t>
            </w:r>
          </w:p>
        </w:tc>
        <w:tc>
          <w:tcPr>
            <w:tcW w:w="2880" w:type="dxa"/>
          </w:tcPr>
          <w:p w14:paraId="2D2F88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应对措施</w:t>
            </w:r>
          </w:p>
        </w:tc>
      </w:tr>
      <w:tr w14:paraId="15A5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CAE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GAASD 代码生成和组件扫描链路仍需验证</w:t>
            </w:r>
          </w:p>
        </w:tc>
        <w:tc>
          <w:tcPr>
            <w:tcW w:w="2880" w:type="dxa"/>
          </w:tcPr>
          <w:p w14:paraId="326F0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LKS 离线仿真、CARLA 联调和自定义边界组件替换</w:t>
            </w:r>
          </w:p>
        </w:tc>
        <w:tc>
          <w:tcPr>
            <w:tcW w:w="2880" w:type="dxa"/>
          </w:tcPr>
          <w:p w14:paraId="1AAB6C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当前 LKS 画布已完成结构搭建并通过数据库连线核对，但复合组件代码生成、示波器运行和 C++ FuncModule 扫描仍依赖 GAASD 后续修复。现阶段保留常量输入和全局参数版本，待工具链稳定后再接入 CARLA 边界组件并开展闭环验证。</w:t>
            </w:r>
          </w:p>
        </w:tc>
      </w:tr>
    </w:tbl>
    <w:p w14:paraId="66AEBB4C">
      <w:r>
        <w:rPr>
          <w:sz w:val="18"/>
        </w:rPr>
        <w:t>——————————————————————————————</w:t>
      </w:r>
    </w:p>
    <w:p w14:paraId="09A20BFA">
      <w:r>
        <w:rPr>
          <w:rFonts w:ascii="微软雅黑" w:hAnsi="微软雅黑" w:eastAsia="微软雅黑"/>
          <w:b/>
          <w:sz w:val="32"/>
        </w:rPr>
        <w:t>三、下周工作计划</w:t>
      </w:r>
    </w:p>
    <w:p w14:paraId="62C00BC8">
      <w:r>
        <w:rPr>
          <w:rFonts w:ascii="微软雅黑" w:hAnsi="微软雅黑" w:eastAsia="微软雅黑"/>
          <w:b/>
          <w:sz w:val="22"/>
        </w:rPr>
        <w:t>计划周期：2026年6月22日 - 2026年6月26日</w:t>
      </w:r>
    </w:p>
    <w:p w14:paraId="6056C214">
      <w:r>
        <w:rPr>
          <w:rFonts w:ascii="微软雅黑" w:hAnsi="微软雅黑" w:eastAsia="微软雅黑"/>
          <w:b/>
          <w:sz w:val="30"/>
        </w:rPr>
        <w:t>1. 配合 GAASD 工具链调试与回归验证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66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83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422A05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38A80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4F13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6C5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GAASD 工具链调试配合</w:t>
            </w:r>
          </w:p>
        </w:tc>
        <w:tc>
          <w:tcPr>
            <w:tcW w:w="2880" w:type="dxa"/>
          </w:tcPr>
          <w:p w14:paraId="79DB9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60DAD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配合文彬进行 GAASD 新版代码生成、示波器和组件扫描链路调试，使用 LKS 与 ACC 工程进行回归验证，确认复合组件生成和运行问题的修复情况。</w:t>
            </w:r>
          </w:p>
        </w:tc>
      </w:tr>
    </w:tbl>
    <w:p w14:paraId="113E8264">
      <w:r>
        <w:rPr>
          <w:rFonts w:ascii="微软雅黑" w:hAnsi="微软雅黑" w:eastAsia="微软雅黑"/>
          <w:b/>
          <w:sz w:val="30"/>
        </w:rPr>
        <w:t>2. 完善 CARLA 仿真场景与接口设计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DE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A9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75F7E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6FA56A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1D42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90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CARLA 仿真场景完善</w:t>
            </w:r>
          </w:p>
        </w:tc>
        <w:tc>
          <w:tcPr>
            <w:tcW w:w="2880" w:type="dxa"/>
          </w:tcPr>
          <w:p w14:paraId="2A46A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76322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完善 LKS 后续 CARLA 仿真场景搭建，包括单车车道保持场景、初始横向偏差设置、测试速度和观察信号配置，为横向控制闭环验证准备环境。</w:t>
            </w:r>
          </w:p>
        </w:tc>
      </w:tr>
    </w:tbl>
    <w:p w14:paraId="1423D09C">
      <w:r>
        <w:rPr>
          <w:rFonts w:ascii="微软雅黑" w:hAnsi="微软雅黑" w:eastAsia="微软雅黑"/>
          <w:b/>
          <w:sz w:val="30"/>
        </w:rPr>
        <w:t>3. LKS 联调准备与边界组件替换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46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333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4F527F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4C423F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5191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01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LKS 接口设计与联调准备</w:t>
            </w:r>
          </w:p>
        </w:tc>
        <w:tc>
          <w:tcPr>
            <w:tcW w:w="2880" w:type="dxa"/>
          </w:tcPr>
          <w:p w14:paraId="44E68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223B3B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继续完善 LKS 与 Bridge/adapter 的接口设计，研究高雪健完成的标准化源码与当前实现差异，明确组件消息订阅、数据注入和控制发布的运行时边界方式。</w:t>
            </w:r>
          </w:p>
        </w:tc>
      </w:tr>
    </w:tbl>
    <w:p w14:paraId="397982C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3971F"/>
    <w:rsid w:val="23D7FBC5"/>
    <w:rsid w:val="3FDB1DA9"/>
    <w:rsid w:val="57FF9C8A"/>
    <w:rsid w:val="57FFECE2"/>
    <w:rsid w:val="7FF95752"/>
    <w:rsid w:val="D7ABE1B1"/>
    <w:rsid w:val="DAF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Aiden</cp:lastModifiedBy>
  <dcterms:modified xsi:type="dcterms:W3CDTF">2026-06-22T12:58:35Z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3210F5998BA619DED580266AA4027382_42</vt:lpwstr>
  </property>
</Properties>
</file>