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6045A">
      <w:r>
        <w:rPr>
          <w:rFonts w:ascii="微软雅黑" w:hAnsi="微软雅黑" w:eastAsia="微软雅黑"/>
          <w:b/>
          <w:sz w:val="52"/>
        </w:rPr>
        <w:t>7月第1周 项目进展周报</w:t>
      </w:r>
    </w:p>
    <w:p w14:paraId="1407736B">
      <w:r>
        <w:rPr>
          <w:rFonts w:ascii="微软雅黑" w:hAnsi="微软雅黑" w:eastAsia="微软雅黑"/>
          <w:b/>
          <w:sz w:val="36"/>
        </w:rPr>
        <w:t>项目进展周报</w:t>
      </w:r>
    </w:p>
    <w:p w14:paraId="2C59E2E9">
      <w:r>
        <w:rPr>
          <w:rFonts w:ascii="微软雅黑" w:hAnsi="微软雅黑" w:eastAsia="微软雅黑"/>
          <w:b/>
          <w:sz w:val="22"/>
        </w:rPr>
        <w:t>报告周期：2026年6月22日 - 2026年6月26日</w:t>
      </w:r>
    </w:p>
    <w:p w14:paraId="353B508A"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 w14:paraId="4F330330">
      <w:r>
        <w:rPr>
          <w:rFonts w:ascii="微软雅黑" w:hAnsi="微软雅黑" w:eastAsia="微软雅黑"/>
          <w:b/>
          <w:sz w:val="32"/>
        </w:rPr>
        <w:t>一、核心任务进展</w:t>
      </w:r>
    </w:p>
    <w:p w14:paraId="3AB695F5">
      <w:r>
        <w:rPr>
          <w:rFonts w:ascii="微软雅黑" w:hAnsi="微软雅黑" w:eastAsia="微软雅黑"/>
          <w:b/>
          <w:sz w:val="30"/>
        </w:rPr>
        <w:t>1. GAASD 新版本更新与工程兼容验证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1161"/>
        <w:gridCol w:w="5946"/>
      </w:tblGrid>
      <w:tr w14:paraId="6846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33131EC6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2F5C9962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1B1F75F8">
            <w:r>
              <w:rPr>
                <w:rFonts w:ascii="微软雅黑" w:hAnsi="微软雅黑" w:eastAsia="微软雅黑"/>
                <w:b/>
                <w:sz w:val="20"/>
              </w:rPr>
              <w:t>完成情况</w:t>
            </w:r>
          </w:p>
        </w:tc>
      </w:tr>
      <w:tr w14:paraId="738A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6F491041">
            <w:r>
              <w:rPr>
                <w:rFonts w:ascii="微软雅黑" w:hAnsi="微软雅黑" w:eastAsia="微软雅黑"/>
                <w:sz w:val="20"/>
              </w:rPr>
              <w:t>新版 GAASD 更新与工程恢复</w:t>
            </w:r>
          </w:p>
        </w:tc>
        <w:tc>
          <w:tcPr>
            <w:tcW w:w="1200" w:type="dxa"/>
          </w:tcPr>
          <w:p w14:paraId="7B614F60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562CA326">
            <w:r>
              <w:rPr>
                <w:rFonts w:ascii="微软雅黑" w:hAnsi="微软雅黑" w:eastAsia="微软雅黑"/>
                <w:sz w:val="20"/>
              </w:rPr>
              <w:t>✅ 已更新 6 月 24 日发布的新版 GAASD，并针对原有工程无法正常打开、空进程无法进入画布等问题与开发团队沟通定位；当前 ACC 和 LKS 工程已能够重新导入和查看，为后续继续在新版软件中验证提供基础。</w:t>
            </w:r>
          </w:p>
        </w:tc>
      </w:tr>
      <w:tr w14:paraId="7B36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6C196470">
            <w:r>
              <w:rPr>
                <w:rFonts w:ascii="微软雅黑" w:hAnsi="微软雅黑" w:eastAsia="微软雅黑"/>
                <w:sz w:val="20"/>
              </w:rPr>
              <w:t>全局参数与状态兼容性确认</w:t>
            </w:r>
          </w:p>
        </w:tc>
        <w:tc>
          <w:tcPr>
            <w:tcW w:w="1200" w:type="dxa"/>
          </w:tcPr>
          <w:p w14:paraId="7B7328F5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5DE2407D">
            <w:r>
              <w:rPr>
                <w:rFonts w:ascii="微软雅黑" w:hAnsi="微软雅黑" w:eastAsia="微软雅黑"/>
                <w:sz w:val="20"/>
              </w:rPr>
              <w:t>✅已确认清华框架中全局参数和全局状态问题已有修复进展，但切换到 Pangu 框架后该能力仍存在兼容差异；当前将其作为后续代码生成和运行验证的重点风险项跟踪。</w:t>
            </w:r>
          </w:p>
        </w:tc>
      </w:tr>
    </w:tbl>
    <w:p w14:paraId="3FBE83FE">
      <w:r>
        <w:rPr>
          <w:rFonts w:ascii="微软雅黑" w:hAnsi="微软雅黑" w:eastAsia="微软雅黑"/>
          <w:b/>
          <w:sz w:val="30"/>
        </w:rPr>
        <w:t>2. Pangu 架构切换与官方示例项目分析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1151"/>
        <w:gridCol w:w="5939"/>
      </w:tblGrid>
      <w:tr w14:paraId="0970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1F39AC02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4A9E391A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7CFBD583">
            <w:r>
              <w:rPr>
                <w:rFonts w:ascii="微软雅黑" w:hAnsi="微软雅黑" w:eastAsia="微软雅黑"/>
                <w:b/>
                <w:sz w:val="20"/>
              </w:rPr>
              <w:t>完成情况</w:t>
            </w:r>
          </w:p>
        </w:tc>
      </w:tr>
      <w:tr w14:paraId="3F0A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14099008">
            <w:r>
              <w:rPr>
                <w:rFonts w:ascii="微软雅黑" w:hAnsi="微软雅黑" w:eastAsia="微软雅黑"/>
                <w:sz w:val="20"/>
              </w:rPr>
              <w:t>Pangu 架构切换确认</w:t>
            </w:r>
          </w:p>
        </w:tc>
        <w:tc>
          <w:tcPr>
            <w:tcW w:w="1200" w:type="dxa"/>
          </w:tcPr>
          <w:p w14:paraId="721B6F54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7C19199B">
            <w:r>
              <w:rPr>
                <w:rFonts w:ascii="微软雅黑" w:hAnsi="微软雅黑" w:eastAsia="微软雅黑"/>
                <w:sz w:val="20"/>
              </w:rPr>
              <w:t>✅ 已切换到 Pangu 架构，并确认后续 GAASD 与仿真集成方向以 Pangu 节点级工程为主；完成 Pangu Docker 环境启动方式验证，容器内 ACC 跟车场景可以启动。</w:t>
            </w:r>
          </w:p>
        </w:tc>
      </w:tr>
      <w:tr w14:paraId="0B410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43187684">
            <w:r>
              <w:rPr>
                <w:rFonts w:ascii="微软雅黑" w:hAnsi="微软雅黑" w:eastAsia="微软雅黑"/>
                <w:sz w:val="20"/>
              </w:rPr>
              <w:t>官方 accreference 示例研究</w:t>
            </w:r>
          </w:p>
        </w:tc>
        <w:tc>
          <w:tcPr>
            <w:tcW w:w="1200" w:type="dxa"/>
          </w:tcPr>
          <w:p w14:paraId="00445D7D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3196C7DB">
            <w:r>
              <w:rPr>
                <w:rFonts w:ascii="微软雅黑" w:hAnsi="微软雅黑" w:eastAsia="微软雅黑"/>
                <w:sz w:val="20"/>
              </w:rPr>
              <w:t>✅ 已分析官方 ACC 参考项目的 App / Module / Channel / Task 层级结构，确认其采用 acc_input、acc_output 通道消息和 ZmqBridgeModule 完成 CARLA 数据接入；该示例生成代码和编译可以通过。</w:t>
            </w:r>
          </w:p>
        </w:tc>
      </w:tr>
      <w:tr w14:paraId="4E78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16030414">
            <w:r>
              <w:rPr>
                <w:rFonts w:ascii="微软雅黑" w:hAnsi="微软雅黑" w:eastAsia="微软雅黑"/>
                <w:sz w:val="20"/>
              </w:rPr>
              <w:t>运行失败问题定位</w:t>
            </w:r>
          </w:p>
        </w:tc>
        <w:tc>
          <w:tcPr>
            <w:tcW w:w="1200" w:type="dxa"/>
          </w:tcPr>
          <w:p w14:paraId="4275F38E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2EA9AF0D">
            <w:r>
              <w:rPr>
                <w:rFonts w:ascii="微软雅黑" w:hAnsi="微软雅黑" w:eastAsia="微软雅黑"/>
                <w:sz w:val="20"/>
              </w:rPr>
              <w:t>进行中 已定位 accreference 运行阶段仍存在问题：运行包中 node_module 配置和模块库安装不完整，导致 ACCModule、ZmqBridgeModule 启动失败。该问题属于新版 GAASD/Pangu 打包或安装流程问题，已形成明确证据链。</w:t>
            </w:r>
          </w:p>
        </w:tc>
      </w:tr>
    </w:tbl>
    <w:p w14:paraId="48EB434D">
      <w:r>
        <w:rPr>
          <w:rFonts w:ascii="微软雅黑" w:hAnsi="微软雅黑" w:eastAsia="微软雅黑"/>
          <w:b/>
          <w:sz w:val="30"/>
        </w:rPr>
        <w:t>3. CARLA 仿真启动与场景资源梳理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1130"/>
        <w:gridCol w:w="6028"/>
      </w:tblGrid>
      <w:tr w14:paraId="0B9EB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6173DAB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4A63FF97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7E1CC517">
            <w:r>
              <w:rPr>
                <w:rFonts w:ascii="微软雅黑" w:hAnsi="微软雅黑" w:eastAsia="微软雅黑"/>
                <w:b/>
                <w:sz w:val="20"/>
              </w:rPr>
              <w:t>完成情况</w:t>
            </w:r>
          </w:p>
        </w:tc>
      </w:tr>
      <w:tr w14:paraId="07F02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8422B3B">
            <w:r>
              <w:rPr>
                <w:rFonts w:ascii="微软雅黑" w:hAnsi="微软雅黑" w:eastAsia="微软雅黑"/>
                <w:sz w:val="20"/>
              </w:rPr>
              <w:t>GAASD 启动 CARLA 验证</w:t>
            </w:r>
          </w:p>
        </w:tc>
        <w:tc>
          <w:tcPr>
            <w:tcW w:w="1200" w:type="dxa"/>
          </w:tcPr>
          <w:p w14:paraId="7CD5C4A9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350A5BEA">
            <w:r>
              <w:rPr>
                <w:rFonts w:ascii="微软雅黑" w:hAnsi="微软雅黑" w:eastAsia="微软雅黑"/>
                <w:sz w:val="20"/>
              </w:rPr>
              <w:t>✅ 已验证新版 GAASD 可以调用本机 CARLA 启动脚本启动仿真器；针对本机只能通过 start-carla.sh 启动的问题，已通过包装脚本方式适配软件默认查找 CarlaUE4.sh 的路径要求。</w:t>
            </w:r>
          </w:p>
        </w:tc>
      </w:tr>
      <w:tr w14:paraId="0E91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731F1F38">
            <w:r>
              <w:rPr>
                <w:rFonts w:ascii="微软雅黑" w:hAnsi="微软雅黑" w:eastAsia="微软雅黑"/>
                <w:sz w:val="20"/>
              </w:rPr>
              <w:t>Docker 内场景位置梳理</w:t>
            </w:r>
          </w:p>
        </w:tc>
        <w:tc>
          <w:tcPr>
            <w:tcW w:w="1200" w:type="dxa"/>
          </w:tcPr>
          <w:p w14:paraId="4CB7BF38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43C77242">
            <w:r>
              <w:rPr>
                <w:rFonts w:ascii="微软雅黑" w:hAnsi="微软雅黑" w:eastAsia="微软雅黑"/>
                <w:sz w:val="20"/>
              </w:rPr>
              <w:t>✅ 已进入 Pangu Docker 环境并梳理仿真场景脚本、Bridge 配置和 CARLA 工具位置，明确 ACC 场景相关脚本位于 /opt/carla/carla_tools/scenario，Bridge 配置与启动脚本位于 /opt/carla/carla_tools/tools/carla_bridge。</w:t>
            </w:r>
          </w:p>
        </w:tc>
      </w:tr>
      <w:tr w14:paraId="066D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16BC06F0">
            <w:r>
              <w:rPr>
                <w:rFonts w:ascii="微软雅黑" w:hAnsi="微软雅黑" w:eastAsia="微软雅黑"/>
                <w:sz w:val="20"/>
              </w:rPr>
              <w:t>后续场景扩展准备</w:t>
            </w:r>
          </w:p>
        </w:tc>
        <w:tc>
          <w:tcPr>
            <w:tcW w:w="1200" w:type="dxa"/>
          </w:tcPr>
          <w:p w14:paraId="4DCFE2B6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6D5E144A">
            <w:r>
              <w:rPr>
                <w:rFonts w:ascii="微软雅黑" w:hAnsi="微软雅黑" w:eastAsia="微软雅黑"/>
                <w:sz w:val="20"/>
              </w:rPr>
              <w:t>✅ 已确认当前 Docker 中的 ACC 场景为前期设计的直道跟车环境，并梳理了后续新增测试场景时需要修改的启动脚本、bridge_config 和场景参数。</w:t>
            </w:r>
          </w:p>
        </w:tc>
      </w:tr>
    </w:tbl>
    <w:p w14:paraId="693D3732">
      <w:r>
        <w:rPr>
          <w:rFonts w:ascii="微软雅黑" w:hAnsi="微软雅黑" w:eastAsia="微软雅黑"/>
          <w:b/>
          <w:sz w:val="30"/>
        </w:rPr>
        <w:t>4. ACC / LKS 画布成果整理与闭环路线调整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157"/>
        <w:gridCol w:w="5955"/>
      </w:tblGrid>
      <w:tr w14:paraId="16116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CCFB6EF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4D5BA616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190636D3">
            <w:r>
              <w:rPr>
                <w:rFonts w:ascii="微软雅黑" w:hAnsi="微软雅黑" w:eastAsia="微软雅黑"/>
                <w:b/>
                <w:sz w:val="20"/>
              </w:rPr>
              <w:t>完成情况</w:t>
            </w:r>
          </w:p>
        </w:tc>
      </w:tr>
      <w:tr w14:paraId="63163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3279975">
            <w:r>
              <w:rPr>
                <w:rFonts w:ascii="微软雅黑" w:hAnsi="微软雅黑" w:eastAsia="微软雅黑"/>
                <w:sz w:val="20"/>
              </w:rPr>
              <w:t>ACC 与 LKS 画布成果汇报</w:t>
            </w:r>
          </w:p>
        </w:tc>
        <w:tc>
          <w:tcPr>
            <w:tcW w:w="1200" w:type="dxa"/>
          </w:tcPr>
          <w:p w14:paraId="035D3259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408823A0">
            <w:r>
              <w:rPr>
                <w:rFonts w:ascii="微软雅黑" w:hAnsi="微软雅黑" w:eastAsia="微软雅黑"/>
                <w:sz w:val="20"/>
              </w:rPr>
              <w:t>✅ 已汇总当前 ACC 和 LKS 在 GAASD 画布中的搭建结果。ACC 已完成决策、时距控制和目标速度链路设计；LKS 已完成三预瞄点误差、转向控制、决策门控和横向加速度限幅等核心结构。</w:t>
            </w:r>
          </w:p>
        </w:tc>
      </w:tr>
      <w:tr w14:paraId="060C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7EB0A97">
            <w:r>
              <w:rPr>
                <w:rFonts w:ascii="微软雅黑" w:hAnsi="微软雅黑" w:eastAsia="微软雅黑"/>
                <w:sz w:val="20"/>
              </w:rPr>
              <w:t>不依赖完整 GAASD 的测试方案研究</w:t>
            </w:r>
          </w:p>
        </w:tc>
        <w:tc>
          <w:tcPr>
            <w:tcW w:w="1200" w:type="dxa"/>
          </w:tcPr>
          <w:p w14:paraId="74F37C9C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62E0BCF3">
            <w:r>
              <w:rPr>
                <w:rFonts w:ascii="微软雅黑" w:hAnsi="微软雅黑" w:eastAsia="微软雅黑"/>
                <w:sz w:val="20"/>
              </w:rPr>
              <w:t>✅ 已研究在 GAASD 工具链仍不稳定时的替代测试方案：保留画布结构用于表达算法逻辑，短期通过 Pangu 示例工程、Bridge 和最小输入输出字段完成简化闭环验证。</w:t>
            </w:r>
          </w:p>
        </w:tc>
      </w:tr>
      <w:tr w14:paraId="349C0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6D5A6E08">
            <w:r>
              <w:rPr>
                <w:rFonts w:ascii="微软雅黑" w:hAnsi="微软雅黑" w:eastAsia="微软雅黑"/>
                <w:sz w:val="20"/>
              </w:rPr>
              <w:t>输入输出变量扩展方案梳理</w:t>
            </w:r>
          </w:p>
        </w:tc>
        <w:tc>
          <w:tcPr>
            <w:tcW w:w="1200" w:type="dxa"/>
          </w:tcPr>
          <w:p w14:paraId="794754E2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76121AFE">
            <w:r>
              <w:rPr>
                <w:rFonts w:ascii="微软雅黑" w:hAnsi="微软雅黑" w:eastAsia="微软雅黑"/>
                <w:sz w:val="20"/>
              </w:rPr>
              <w:t>✅ 已明确后续 ACC/LKS 与 CARLA 交互应采用 channel_input / channel_output 作为正式方向；短期测试继续使用临时边界组件，字段命名和单位对齐后续 AccInput、LksInput、ControlOutput 等消息，保证画布中存在真实连线。</w:t>
            </w:r>
          </w:p>
        </w:tc>
      </w:tr>
    </w:tbl>
    <w:p w14:paraId="6E25CCD5"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 w14:paraId="3C19CABB">
      <w:r>
        <w:rPr>
          <w:rFonts w:ascii="微软雅黑" w:hAnsi="微软雅黑" w:eastAsia="微软雅黑"/>
          <w:b/>
          <w:sz w:val="32"/>
        </w:rPr>
        <w:t>二、风险与问题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3118"/>
        <w:gridCol w:w="3456"/>
      </w:tblGrid>
      <w:tr w14:paraId="7169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8" w:type="dxa"/>
          </w:tcPr>
          <w:p w14:paraId="0AFD779E">
            <w:r>
              <w:rPr>
                <w:rFonts w:ascii="微软雅黑" w:hAnsi="微软雅黑" w:eastAsia="微软雅黑"/>
                <w:b/>
                <w:sz w:val="20"/>
              </w:rPr>
              <w:t>风险项</w:t>
            </w:r>
          </w:p>
        </w:tc>
        <w:tc>
          <w:tcPr>
            <w:tcW w:w="3118" w:type="dxa"/>
          </w:tcPr>
          <w:p w14:paraId="28FB9C74">
            <w:r>
              <w:rPr>
                <w:rFonts w:ascii="微软雅黑" w:hAnsi="微软雅黑" w:eastAsia="微软雅黑"/>
                <w:b/>
                <w:sz w:val="20"/>
              </w:rPr>
              <w:t>影响范围</w:t>
            </w:r>
          </w:p>
        </w:tc>
        <w:tc>
          <w:tcPr>
            <w:tcW w:w="3456" w:type="dxa"/>
          </w:tcPr>
          <w:p w14:paraId="174BFE99">
            <w:r>
              <w:rPr>
                <w:rFonts w:ascii="微软雅黑" w:hAnsi="微软雅黑" w:eastAsia="微软雅黑"/>
                <w:b/>
                <w:sz w:val="20"/>
              </w:rPr>
              <w:t>应对措施</w:t>
            </w:r>
          </w:p>
        </w:tc>
      </w:tr>
      <w:tr w14:paraId="3F0C7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8" w:type="dxa"/>
          </w:tcPr>
          <w:p w14:paraId="0798C19D">
            <w:r>
              <w:rPr>
                <w:rFonts w:ascii="微软雅黑" w:hAnsi="微软雅黑" w:eastAsia="微软雅黑"/>
                <w:sz w:val="20"/>
              </w:rPr>
              <w:t>Pangu 示例工程编译通过但运行失败</w:t>
            </w:r>
          </w:p>
        </w:tc>
        <w:tc>
          <w:tcPr>
            <w:tcW w:w="3118" w:type="dxa"/>
          </w:tcPr>
          <w:p w14:paraId="4B718716">
            <w:r>
              <w:rPr>
                <w:rFonts w:ascii="微软雅黑" w:hAnsi="微软雅黑" w:eastAsia="微软雅黑"/>
                <w:sz w:val="20"/>
              </w:rPr>
              <w:t>影响官方示例 ACCModule / ZmqBridgeModule 的直接运行验证</w:t>
            </w:r>
          </w:p>
        </w:tc>
        <w:tc>
          <w:tcPr>
            <w:tcW w:w="3456" w:type="dxa"/>
          </w:tcPr>
          <w:p w14:paraId="7CC6A224">
            <w:r>
              <w:rPr>
                <w:rFonts w:ascii="微软雅黑" w:hAnsi="微软雅黑" w:eastAsia="微软雅黑"/>
                <w:sz w:val="20"/>
              </w:rPr>
              <w:t>已定位为运行包中 node_module 配置和模块库安装不完整，继续配合开发团队确认 Pangu 打包和安装流程；短期不把该示例作为完整闭环已跑通的依据。</w:t>
            </w:r>
          </w:p>
        </w:tc>
      </w:tr>
      <w:tr w14:paraId="7158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8" w:type="dxa"/>
          </w:tcPr>
          <w:p w14:paraId="2B2C4E01">
            <w:r>
              <w:rPr>
                <w:rFonts w:ascii="微软雅黑" w:hAnsi="微软雅黑" w:eastAsia="微软雅黑"/>
                <w:sz w:val="20"/>
              </w:rPr>
              <w:t>输入输出参数尚未完成正式扩展</w:t>
            </w:r>
          </w:p>
        </w:tc>
        <w:tc>
          <w:tcPr>
            <w:tcW w:w="3118" w:type="dxa"/>
          </w:tcPr>
          <w:p w14:paraId="2ADC4718">
            <w:r>
              <w:rPr>
                <w:rFonts w:ascii="微软雅黑" w:hAnsi="微软雅黑" w:eastAsia="微软雅黑"/>
                <w:sz w:val="20"/>
              </w:rPr>
              <w:t>影响 ACC/LKS 完整闭环中驾驶指令、制动状态、车道模型等变量接入</w:t>
            </w:r>
          </w:p>
        </w:tc>
        <w:tc>
          <w:tcPr>
            <w:tcW w:w="3456" w:type="dxa"/>
          </w:tcPr>
          <w:p w14:paraId="6D802477">
            <w:r>
              <w:rPr>
                <w:rFonts w:ascii="微软雅黑" w:hAnsi="微软雅黑" w:eastAsia="微软雅黑"/>
                <w:sz w:val="20"/>
              </w:rPr>
              <w:t>下周优先做最小闭环仿真验证，在字段不足时采用常量或临时边界组件补齐，同时形成正式 channel 消息字段需求。</w:t>
            </w:r>
          </w:p>
        </w:tc>
      </w:tr>
    </w:tbl>
    <w:p w14:paraId="54EACF3C">
      <w:r>
        <w:rPr>
          <w:rFonts w:ascii="微软雅黑" w:hAnsi="微软雅黑" w:eastAsia="微软雅黑"/>
          <w:sz w:val="18"/>
        </w:rPr>
        <w:t>——————————————————————————————</w:t>
      </w:r>
    </w:p>
    <w:p w14:paraId="2C82BA1B">
      <w:r>
        <w:rPr>
          <w:rFonts w:ascii="微软雅黑" w:hAnsi="微软雅黑" w:eastAsia="微软雅黑"/>
          <w:b/>
          <w:sz w:val="32"/>
        </w:rPr>
        <w:t>三、下周工作计划</w:t>
      </w:r>
    </w:p>
    <w:p w14:paraId="521C4342">
      <w:r>
        <w:rPr>
          <w:rFonts w:ascii="微软雅黑" w:hAnsi="微软雅黑" w:eastAsia="微软雅黑"/>
          <w:b/>
          <w:sz w:val="22"/>
        </w:rPr>
        <w:t>计划周期：2026年6月29日 - 2026年7月3日</w:t>
      </w:r>
    </w:p>
    <w:p w14:paraId="1E8AA078">
      <w:r>
        <w:rPr>
          <w:rFonts w:ascii="微软雅黑" w:hAnsi="微软雅黑" w:eastAsia="微软雅黑"/>
          <w:b/>
          <w:sz w:val="30"/>
        </w:rPr>
        <w:t>1. 最小闭环仿真验证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1158"/>
        <w:gridCol w:w="5969"/>
      </w:tblGrid>
      <w:tr w14:paraId="25A3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5AFB6D7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2FA37BDB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09979E20">
            <w:r>
              <w:rPr>
                <w:rFonts w:ascii="微软雅黑" w:hAnsi="微软雅黑" w:eastAsia="微软雅黑"/>
                <w:b/>
                <w:sz w:val="20"/>
              </w:rPr>
              <w:t>本周目标</w:t>
            </w:r>
          </w:p>
        </w:tc>
      </w:tr>
      <w:tr w14:paraId="0AA25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DEA2E55">
            <w:r>
              <w:rPr>
                <w:rFonts w:ascii="微软雅黑" w:hAnsi="微软雅黑" w:eastAsia="微软雅黑"/>
                <w:sz w:val="20"/>
              </w:rPr>
              <w:t>ACC 最小闭环测试</w:t>
            </w:r>
          </w:p>
        </w:tc>
        <w:tc>
          <w:tcPr>
            <w:tcW w:w="1200" w:type="dxa"/>
          </w:tcPr>
          <w:p w14:paraId="2B916A0D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7B0767E3">
            <w:r>
              <w:rPr>
                <w:rFonts w:ascii="微软雅黑" w:hAnsi="微软雅黑" w:eastAsia="微软雅黑"/>
                <w:sz w:val="20"/>
              </w:rPr>
              <w:t>在当前输入输出参数尚未完全扩展的条件下，优先使用已有 ego_speed、lead_speed、lead_distance、target_speed、enable 等最小字段完成一轮 Pangu/CARLA 闭环验证，确认数据输入、算法计算、控制输出和车辆响应链路是否贯通。</w:t>
            </w:r>
          </w:p>
        </w:tc>
      </w:tr>
      <w:tr w14:paraId="661F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2F4F1B9">
            <w:r>
              <w:rPr>
                <w:rFonts w:ascii="微软雅黑" w:hAnsi="微软雅黑" w:eastAsia="微软雅黑"/>
                <w:sz w:val="20"/>
              </w:rPr>
              <w:t>字段不足情况下的临时补齐</w:t>
            </w:r>
          </w:p>
        </w:tc>
        <w:tc>
          <w:tcPr>
            <w:tcW w:w="1200" w:type="dxa"/>
          </w:tcPr>
          <w:p w14:paraId="0E40E0CD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77F79FFF">
            <w:r>
              <w:rPr>
                <w:rFonts w:ascii="微软雅黑" w:hAnsi="微软雅黑" w:eastAsia="微软雅黑"/>
                <w:sz w:val="20"/>
              </w:rPr>
              <w:t>对于 command_type、brake_active、lane_valid、车道模型等暂未正式进入 channel 的字段，先用常量或临时边界组件补齐，保证画布中存在真实连线并可观测。</w:t>
            </w:r>
          </w:p>
        </w:tc>
      </w:tr>
    </w:tbl>
    <w:p w14:paraId="129A5A35">
      <w:r>
        <w:rPr>
          <w:rFonts w:ascii="微软雅黑" w:hAnsi="微软雅黑" w:eastAsia="微软雅黑"/>
          <w:b/>
          <w:sz w:val="30"/>
        </w:rPr>
        <w:t>2. Pangu 节点运行问题继续定位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1151"/>
        <w:gridCol w:w="5939"/>
      </w:tblGrid>
      <w:tr w14:paraId="50C8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</w:tcPr>
          <w:p w14:paraId="2AB02802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151" w:type="dxa"/>
          </w:tcPr>
          <w:p w14:paraId="1EFBD5D3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5939" w:type="dxa"/>
          </w:tcPr>
          <w:p w14:paraId="1B9F4826">
            <w:r>
              <w:rPr>
                <w:rFonts w:ascii="微软雅黑" w:hAnsi="微软雅黑" w:eastAsia="微软雅黑"/>
                <w:b/>
                <w:sz w:val="20"/>
              </w:rPr>
              <w:t>本周目标</w:t>
            </w:r>
          </w:p>
        </w:tc>
      </w:tr>
      <w:tr w14:paraId="5570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2" w:type="dxa"/>
          </w:tcPr>
          <w:p w14:paraId="41DF774E">
            <w:r>
              <w:rPr>
                <w:rFonts w:ascii="微软雅黑" w:hAnsi="微软雅黑" w:eastAsia="微软雅黑"/>
                <w:sz w:val="20"/>
              </w:rPr>
              <w:t>accreference 运行失败问题复核</w:t>
            </w:r>
          </w:p>
        </w:tc>
        <w:tc>
          <w:tcPr>
            <w:tcW w:w="1151" w:type="dxa"/>
          </w:tcPr>
          <w:p w14:paraId="6256AE1E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5939" w:type="dxa"/>
          </w:tcPr>
          <w:p w14:paraId="7817CD35">
            <w:r>
              <w:rPr>
                <w:rFonts w:ascii="微软雅黑" w:hAnsi="微软雅黑" w:eastAsia="微软雅黑"/>
                <w:sz w:val="20"/>
              </w:rPr>
              <w:t>继续跟踪 ACCModule / ZmqBridgeModule 启动失败问题，重点确认 node_module 配置、模块库安装路径、运行包目录结构和 Pangu 启动脚本之间的关系。</w:t>
            </w:r>
          </w:p>
        </w:tc>
      </w:tr>
    </w:tbl>
    <w:p w14:paraId="05DE6A0F">
      <w:r>
        <w:rPr>
          <w:rFonts w:ascii="微软雅黑" w:hAnsi="微软雅黑" w:eastAsia="微软雅黑"/>
          <w:b/>
          <w:sz w:val="30"/>
        </w:rPr>
        <w:t>3. 输入输出消息字段扩展方案确认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1156"/>
        <w:gridCol w:w="5974"/>
      </w:tblGrid>
      <w:tr w14:paraId="1F09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2441A1F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5635E86D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0B5AC197">
            <w:r>
              <w:rPr>
                <w:rFonts w:ascii="微软雅黑" w:hAnsi="微软雅黑" w:eastAsia="微软雅黑"/>
                <w:b/>
                <w:sz w:val="20"/>
              </w:rPr>
              <w:t>本周目标</w:t>
            </w:r>
          </w:p>
        </w:tc>
      </w:tr>
      <w:tr w14:paraId="052F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3D24F30">
            <w:r>
              <w:rPr>
                <w:rFonts w:ascii="微软雅黑" w:hAnsi="微软雅黑" w:eastAsia="微软雅黑"/>
                <w:sz w:val="20"/>
              </w:rPr>
              <w:t>ACC 输入输出字段梳理</w:t>
            </w:r>
          </w:p>
        </w:tc>
        <w:tc>
          <w:tcPr>
            <w:tcW w:w="1200" w:type="dxa"/>
          </w:tcPr>
          <w:p w14:paraId="5EE158C0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44D84A18">
            <w:r>
              <w:rPr>
                <w:rFonts w:ascii="微软雅黑" w:hAnsi="微软雅黑" w:eastAsia="微软雅黑"/>
                <w:sz w:val="20"/>
              </w:rPr>
              <w:t>整理 ACC 后续需要的输入输出字段，包括 ego_speed_mps、lead_speed_mps、lead_distance_m、command_type、brake_active、target_speed_mps、enable 等，形成可交给软件团队实现的 channel 字段清单。</w:t>
            </w:r>
          </w:p>
        </w:tc>
      </w:tr>
      <w:tr w14:paraId="698C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6B6903C">
            <w:r>
              <w:rPr>
                <w:rFonts w:ascii="微软雅黑" w:hAnsi="微软雅黑" w:eastAsia="微软雅黑"/>
                <w:sz w:val="20"/>
              </w:rPr>
              <w:t>LKS 输入输出字段梳理</w:t>
            </w:r>
          </w:p>
        </w:tc>
        <w:tc>
          <w:tcPr>
            <w:tcW w:w="1200" w:type="dxa"/>
          </w:tcPr>
          <w:p w14:paraId="2C94E1A0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72496107">
            <w:r>
              <w:rPr>
                <w:rFonts w:ascii="微软雅黑" w:hAnsi="微软雅黑" w:eastAsia="微软雅黑"/>
                <w:sz w:val="20"/>
              </w:rPr>
              <w:t>整理 LKS 后续需要的车道线多项式、曲率、自车速度、当前转角、制动状态、主动换道状态和 steer_rad 输出字段，确保字段含义、单位和方向约定清晰。</w:t>
            </w:r>
          </w:p>
        </w:tc>
      </w:tr>
    </w:tbl>
    <w:p w14:paraId="2EEE6580">
      <w:r>
        <w:rPr>
          <w:rFonts w:ascii="微软雅黑" w:hAnsi="微软雅黑" w:eastAsia="微软雅黑"/>
          <w:b/>
          <w:sz w:val="30"/>
        </w:rPr>
        <w:t>4. CARLA 场景与 Bridge 配置固化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163"/>
        <w:gridCol w:w="5957"/>
      </w:tblGrid>
      <w:tr w14:paraId="5B050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54846294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200" w:type="dxa"/>
          </w:tcPr>
          <w:p w14:paraId="40A02A1D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6200" w:type="dxa"/>
          </w:tcPr>
          <w:p w14:paraId="51C24076">
            <w:r>
              <w:rPr>
                <w:rFonts w:ascii="微软雅黑" w:hAnsi="微软雅黑" w:eastAsia="微软雅黑"/>
                <w:b/>
                <w:sz w:val="20"/>
              </w:rPr>
              <w:t>本周目标</w:t>
            </w:r>
          </w:p>
        </w:tc>
      </w:tr>
      <w:tr w14:paraId="7E0A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38BDCBC">
            <w:r>
              <w:rPr>
                <w:rFonts w:ascii="微软雅黑" w:hAnsi="微软雅黑" w:eastAsia="微软雅黑"/>
                <w:sz w:val="20"/>
              </w:rPr>
              <w:t>最小闭环场景固化</w:t>
            </w:r>
          </w:p>
        </w:tc>
        <w:tc>
          <w:tcPr>
            <w:tcW w:w="1200" w:type="dxa"/>
          </w:tcPr>
          <w:p w14:paraId="46592005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3DB59A25">
            <w:r>
              <w:rPr>
                <w:rFonts w:ascii="微软雅黑" w:hAnsi="微软雅黑" w:eastAsia="微软雅黑"/>
                <w:sz w:val="20"/>
              </w:rPr>
              <w:t>基于当前 Docker 内 ACC 跟车场景，固化可重复启动的 CARLA 场景配置，包括地图、起点、前车距离、前车速度、Bridge 端口和 spectator 视角。</w:t>
            </w:r>
          </w:p>
        </w:tc>
      </w:tr>
      <w:tr w14:paraId="020B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702C5DF">
            <w:r>
              <w:rPr>
                <w:rFonts w:ascii="微软雅黑" w:hAnsi="微软雅黑" w:eastAsia="微软雅黑"/>
                <w:sz w:val="20"/>
              </w:rPr>
              <w:t>后续 LKS 场景准备</w:t>
            </w:r>
          </w:p>
        </w:tc>
        <w:tc>
          <w:tcPr>
            <w:tcW w:w="1200" w:type="dxa"/>
          </w:tcPr>
          <w:p w14:paraId="56269304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6200" w:type="dxa"/>
          </w:tcPr>
          <w:p w14:paraId="128FA480">
            <w:r>
              <w:rPr>
                <w:rFonts w:ascii="微软雅黑" w:hAnsi="微软雅黑" w:eastAsia="微软雅黑"/>
                <w:sz w:val="20"/>
              </w:rPr>
              <w:t>在不影响 ACC 最小闭环的前提下，梳理单车 LKS 测试场景所需参数，为后续横向控制验证准备基础场景。</w:t>
            </w:r>
          </w:p>
        </w:tc>
      </w:tr>
    </w:tbl>
    <w:p w14:paraId="7D68994B">
      <w:r>
        <w:rPr>
          <w:rFonts w:ascii="微软雅黑" w:hAnsi="微软雅黑" w:eastAsia="微软雅黑"/>
          <w:b/>
          <w:sz w:val="30"/>
        </w:rPr>
        <w:t>5. 测试记录与交付材料整理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164"/>
        <w:gridCol w:w="5961"/>
      </w:tblGrid>
      <w:tr w14:paraId="0373A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 w14:paraId="24756A3E">
            <w:r>
              <w:rPr>
                <w:rFonts w:ascii="微软雅黑" w:hAnsi="微软雅黑" w:eastAsia="微软雅黑"/>
                <w:b/>
                <w:sz w:val="20"/>
              </w:rPr>
              <w:t>任务项</w:t>
            </w:r>
          </w:p>
        </w:tc>
        <w:tc>
          <w:tcPr>
            <w:tcW w:w="1164" w:type="dxa"/>
          </w:tcPr>
          <w:p w14:paraId="78344575"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  <w:tc>
          <w:tcPr>
            <w:tcW w:w="5961" w:type="dxa"/>
          </w:tcPr>
          <w:p w14:paraId="29C2E363">
            <w:r>
              <w:rPr>
                <w:rFonts w:ascii="微软雅黑" w:hAnsi="微软雅黑" w:eastAsia="微软雅黑"/>
                <w:b/>
                <w:sz w:val="20"/>
              </w:rPr>
              <w:t>本周目标</w:t>
            </w:r>
          </w:p>
        </w:tc>
      </w:tr>
      <w:tr w14:paraId="6C20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 w14:paraId="0C242DEA">
            <w:bookmarkStart w:id="0" w:name="_GoBack"/>
            <w:bookmarkEnd w:id="0"/>
            <w:r>
              <w:rPr>
                <w:rFonts w:ascii="微软雅黑" w:hAnsi="微软雅黑" w:eastAsia="微软雅黑"/>
                <w:sz w:val="20"/>
              </w:rPr>
              <w:t>阶段性方案同步</w:t>
            </w:r>
          </w:p>
        </w:tc>
        <w:tc>
          <w:tcPr>
            <w:tcW w:w="1164" w:type="dxa"/>
          </w:tcPr>
          <w:p w14:paraId="15BE6B34">
            <w:r>
              <w:rPr>
                <w:rFonts w:ascii="微软雅黑" w:hAnsi="微软雅黑" w:eastAsia="微软雅黑"/>
                <w:sz w:val="20"/>
              </w:rPr>
              <w:t>赵煜坤</w:t>
            </w:r>
          </w:p>
        </w:tc>
        <w:tc>
          <w:tcPr>
            <w:tcW w:w="5961" w:type="dxa"/>
          </w:tcPr>
          <w:p w14:paraId="059656D3">
            <w:r>
              <w:rPr>
                <w:rFonts w:ascii="微软雅黑" w:hAnsi="微软雅黑" w:eastAsia="微软雅黑"/>
                <w:sz w:val="20"/>
              </w:rPr>
              <w:t>根据最小闭环结果更新 ACC/LKS 与 CARLA 连接方案，明确当前可运行能力、未扩展字段和后续软件侧需支持的功能。</w:t>
            </w:r>
          </w:p>
        </w:tc>
      </w:tr>
    </w:tbl>
    <w:p w14:paraId="701E6E28"/>
    <w:sectPr>
      <w:pgSz w:w="11906" w:h="16838"/>
      <w:pgMar w:top="1440" w:right="1440" w:bottom="1440" w:left="144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hetsarath OT">
    <w:panose1 w:val="02000500000000000001"/>
    <w:charset w:val="86"/>
    <w:family w:val="auto"/>
    <w:pitch w:val="default"/>
    <w:sig w:usb0="F7FFAEFF" w:usb1="FBDFFFFF" w:usb2="1FFBFFFF" w:usb3="00000000" w:csb0="FFFFFFFF" w:csb1="FFFFFFFF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E3971F"/>
    <w:rsid w:val="23D7FBC5"/>
    <w:rsid w:val="3FDB1DA9"/>
    <w:rsid w:val="519B611E"/>
    <w:rsid w:val="57FF9C8A"/>
    <w:rsid w:val="57FFECE2"/>
    <w:rsid w:val="5FBD4AB5"/>
    <w:rsid w:val="7FF95752"/>
    <w:rsid w:val="D7ABE1B1"/>
    <w:rsid w:val="DAFB5263"/>
    <w:rsid w:val="DDB7E58C"/>
    <w:rsid w:val="FE8EB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Aiden</cp:lastModifiedBy>
  <dcterms:modified xsi:type="dcterms:W3CDTF">2026-06-29T13:05:36Z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3210F5998BA619DED580266AA4027382_42</vt:lpwstr>
  </property>
</Properties>
</file>