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i w:val="0"/>
          <w:color w:val="1D3B34"/>
          <w:sz w:val="44"/>
        </w:rPr>
        <w:t>Division 296 Cost Base Reset Model</w:t>
      </w:r>
    </w:p>
    <w:p>
      <w:r>
        <w:rPr>
          <w:rFonts w:ascii="Calibri" w:hAnsi="Calibri"/>
          <w:b w:val="0"/>
          <w:i/>
          <w:color w:val="555555"/>
          <w:sz w:val="24"/>
        </w:rPr>
        <w:t>User Guide — Adviser Edition  ·  v3.4.0</w:t>
      </w:r>
    </w:p>
    <w:p>
      <w:r>
        <w:rPr>
          <w:rFonts w:ascii="Calibri" w:hAnsi="Calibri"/>
          <w:b w:val="0"/>
          <w:i w:val="0"/>
          <w:sz w:val="22"/>
        </w:rPr>
        <w:t>This guide explains how to use the Adviser Edition of the Division 296 Cost Base Reset Model: a self-contained Excel workbook that models the impact of the Division 296 cost-base reset election on an SMSF with one or more members above the $3 million Total Superannuation Balance (TSB) threshold. The Adviser Edition is identical to the full model except the CLASS Super import staging tab has been removed — data goes straight into the Inputs tab.</w:t>
      </w:r>
    </w:p>
    <w:p>
      <w:pPr>
        <w:spacing w:before="160" w:after="160"/>
      </w:pPr>
      <w:r>
        <w:rPr>
          <w:rFonts w:ascii="Calibri" w:hAnsi="Calibri"/>
          <w:b/>
          <w:i w:val="0"/>
          <w:color w:val="8A6D00"/>
          <w:sz w:val="22"/>
        </w:rPr>
        <w:t xml:space="preserve">Illustrative only.  </w:t>
      </w:r>
      <w:r>
        <w:rPr>
          <w:rFonts w:ascii="Calibri" w:hAnsi="Calibri"/>
          <w:b w:val="0"/>
          <w:i w:val="0"/>
          <w:color w:val="8A6D00"/>
          <w:sz w:val="22"/>
        </w:rPr>
        <w:t>This model is a planning aid, not advice. Confirm every figure against the final ATO method, the fund's tax position, and a registered tax agent or licensed adviser before acting.</w:t>
      </w:r>
    </w:p>
    <w:p>
      <w:pPr>
        <w:spacing w:before="280" w:after="80"/>
      </w:pPr>
      <w:r>
        <w:rPr>
          <w:rFonts w:ascii="Calibri" w:hAnsi="Calibri"/>
          <w:b/>
          <w:i w:val="0"/>
          <w:color w:val="1D3B34"/>
          <w:sz w:val="32"/>
        </w:rPr>
        <w:t>1. What the tool does</w:t>
      </w:r>
    </w:p>
    <w:p>
      <w:r>
        <w:rPr>
          <w:rFonts w:ascii="Calibri" w:hAnsi="Calibri"/>
          <w:b w:val="0"/>
          <w:i w:val="0"/>
          <w:sz w:val="22"/>
        </w:rPr>
        <w:t>The workbook compares two scenarios side by side for a single SMSF at the 30 June 2026 reset election date:</w:t>
      </w:r>
    </w:p>
    <w:p>
      <w:pPr>
        <w:pStyle w:val="ListBullet"/>
      </w:pPr>
      <w:r>
        <w:rPr>
          <w:rFonts w:ascii="Calibri" w:hAnsi="Calibri"/>
          <w:b w:val="0"/>
          <w:i w:val="0"/>
          <w:sz w:val="22"/>
        </w:rPr>
        <w:t>If no reset (default) — every asset keeps its original cost base for both ordinary CGT and Division 296 calculations.</w:t>
      </w:r>
    </w:p>
    <w:p>
      <w:pPr>
        <w:pStyle w:val="ListBullet"/>
      </w:pPr>
      <w:r>
        <w:rPr>
          <w:rFonts w:ascii="Calibri" w:hAnsi="Calibri"/>
          <w:b w:val="0"/>
          <w:i w:val="0"/>
          <w:sz w:val="22"/>
        </w:rPr>
        <w:t>If elected to reset — every CGT asset's Division 296 cost base is stepped up (or down) to its market value at 30 June 2026. Ordinary CGT continues to use the original cost base.</w:t>
      </w:r>
    </w:p>
    <w:p>
      <w:r>
        <w:rPr>
          <w:rFonts w:ascii="Calibri" w:hAnsi="Calibri"/>
          <w:b w:val="0"/>
          <w:i w:val="0"/>
          <w:sz w:val="22"/>
        </w:rPr>
        <w:t>The reset election is one-off, all-or-nothing, and irrevocable. The model never recommends an outcome — it computes both scenarios and presents the signed difference so the adviser can make the call.</w:t>
      </w:r>
    </w:p>
    <w:p>
      <w:r>
        <w:rPr>
          <w:rFonts w:ascii="Calibri" w:hAnsi="Calibri"/>
          <w:b w:val="0"/>
          <w:i w:val="0"/>
          <w:sz w:val="22"/>
        </w:rPr>
        <w:t>The model also surfaces:</w:t>
      </w:r>
    </w:p>
    <w:p>
      <w:pPr>
        <w:pStyle w:val="ListBullet"/>
      </w:pPr>
      <w:r>
        <w:rPr>
          <w:rFonts w:ascii="Calibri" w:hAnsi="Calibri"/>
          <w:b w:val="0"/>
          <w:i w:val="0"/>
          <w:sz w:val="22"/>
        </w:rPr>
        <w:t>Fund-level Division 296 earnings, with capital-loss netting within the income year (s102-5 method, floored at zero).</w:t>
      </w:r>
    </w:p>
    <w:p>
      <w:pPr>
        <w:pStyle w:val="ListBullet"/>
      </w:pPr>
      <w:r>
        <w:rPr>
          <w:rFonts w:ascii="Calibri" w:hAnsi="Calibri"/>
          <w:b w:val="0"/>
          <w:i w:val="0"/>
          <w:sz w:val="22"/>
        </w:rPr>
        <w:t>Per-member Division 296 tax, decomposed into the $3m–$10m band (15%) and the above-$10m band (25%).</w:t>
      </w:r>
    </w:p>
    <w:p>
      <w:pPr>
        <w:pStyle w:val="ListBullet"/>
      </w:pPr>
      <w:r>
        <w:rPr>
          <w:rFonts w:ascii="Calibri" w:hAnsi="Calibri"/>
          <w:b w:val="0"/>
          <w:i w:val="0"/>
          <w:sz w:val="22"/>
        </w:rPr>
        <w:t>Per-asset Division 296 gain, tax, and reset impact — including the ‘reset trap’ on assets currently sitting at an unrealised loss.</w:t>
      </w:r>
    </w:p>
    <w:p>
      <w:pPr>
        <w:pStyle w:val="ListBullet"/>
      </w:pPr>
      <w:r>
        <w:rPr>
          <w:rFonts w:ascii="Calibri" w:hAnsi="Calibri"/>
          <w:b w:val="0"/>
          <w:i w:val="0"/>
          <w:sz w:val="22"/>
        </w:rPr>
        <w:t>A print-ready single-page Comparison tearsheet suitable for a client meeting.</w:t>
      </w:r>
    </w:p>
    <w:p>
      <w:pPr>
        <w:spacing w:before="280" w:after="80"/>
      </w:pPr>
      <w:r>
        <w:rPr>
          <w:rFonts w:ascii="Calibri" w:hAnsi="Calibri"/>
          <w:b/>
          <w:i w:val="0"/>
          <w:color w:val="1D3B34"/>
          <w:sz w:val="32"/>
        </w:rPr>
        <w:t>2. The four tabs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Calibri" w:hAnsi="Calibri"/>
                <w:b/>
                <w:i w:val="0"/>
                <w:sz w:val="20"/>
              </w:rPr>
              <w:t>Tab</w:t>
            </w:r>
          </w:p>
        </w:tc>
        <w:tc>
          <w:tcPr>
            <w:tcW w:type="dxa" w:w="2880"/>
          </w:tcPr>
          <w:p>
            <w:r/>
            <w:r>
              <w:rPr>
                <w:rFonts w:ascii="Calibri" w:hAnsi="Calibri"/>
                <w:b/>
                <w:i w:val="0"/>
                <w:sz w:val="20"/>
              </w:rPr>
              <w:t>Purpose</w:t>
            </w:r>
          </w:p>
        </w:tc>
        <w:tc>
          <w:tcPr>
            <w:tcW w:type="dxa" w:w="2880"/>
          </w:tcPr>
          <w:p>
            <w:r/>
            <w:r>
              <w:rPr>
                <w:rFonts w:ascii="Calibri" w:hAnsi="Calibri"/>
                <w:b/>
                <w:i w:val="0"/>
                <w:sz w:val="20"/>
              </w:rPr>
              <w:t>User edits here?</w:t>
            </w:r>
          </w:p>
        </w:tc>
      </w:tr>
      <w:tr>
        <w:tc>
          <w:tcPr>
            <w:tcW w:type="dxa" w:w="2880"/>
          </w:tcPr>
          <w:p>
            <w:r/>
            <w:r>
              <w:rPr>
                <w:rFonts w:ascii="Calibri" w:hAnsi="Calibri"/>
                <w:b w:val="0"/>
                <w:i w:val="0"/>
                <w:sz w:val="20"/>
              </w:rPr>
              <w:t>Inputs</w:t>
            </w:r>
          </w:p>
        </w:tc>
        <w:tc>
          <w:tcPr>
            <w:tcW w:type="dxa" w:w="2880"/>
          </w:tcPr>
          <w:p>
            <w:r/>
            <w:r>
              <w:rPr>
                <w:rFonts w:ascii="Calibri" w:hAnsi="Calibri"/>
                <w:b w:val="0"/>
                <w:i w:val="0"/>
                <w:sz w:val="20"/>
              </w:rPr>
              <w:t>Member TSBs, asset register, advanced assumptions</w:t>
            </w:r>
          </w:p>
        </w:tc>
        <w:tc>
          <w:tcPr>
            <w:tcW w:type="dxa" w:w="2880"/>
          </w:tcPr>
          <w:p>
            <w:r/>
            <w:r>
              <w:rPr>
                <w:rFonts w:ascii="Calibri" w:hAnsi="Calibri"/>
                <w:b w:val="0"/>
                <w:i w:val="0"/>
                <w:sz w:val="20"/>
              </w:rPr>
              <w:t>Yes</w:t>
            </w:r>
          </w:p>
        </w:tc>
      </w:tr>
      <w:tr>
        <w:tc>
          <w:tcPr>
            <w:tcW w:type="dxa" w:w="2880"/>
          </w:tcPr>
          <w:p>
            <w:r/>
            <w:r>
              <w:rPr>
                <w:rFonts w:ascii="Calibri" w:hAnsi="Calibri"/>
                <w:b w:val="0"/>
                <w:i w:val="0"/>
                <w:sz w:val="20"/>
              </w:rPr>
              <w:t>Analyser</w:t>
            </w:r>
          </w:p>
        </w:tc>
        <w:tc>
          <w:tcPr>
            <w:tcW w:type="dxa" w:w="2880"/>
          </w:tcPr>
          <w:p>
            <w:r/>
            <w:r>
              <w:rPr>
                <w:rFonts w:ascii="Calibri" w:hAnsi="Calibri"/>
                <w:b w:val="0"/>
                <w:i w:val="0"/>
                <w:sz w:val="20"/>
              </w:rPr>
              <w:t>Fund summary, per-member tax, per-asset detail, recon</w:t>
            </w:r>
          </w:p>
        </w:tc>
        <w:tc>
          <w:tcPr>
            <w:tcW w:type="dxa" w:w="2880"/>
          </w:tcPr>
          <w:p>
            <w:r/>
            <w:r>
              <w:rPr>
                <w:rFonts w:ascii="Calibri" w:hAnsi="Calibri"/>
                <w:b w:val="0"/>
                <w:i w:val="0"/>
                <w:sz w:val="20"/>
              </w:rPr>
              <w:t>No (formula-driven)</w:t>
            </w:r>
          </w:p>
        </w:tc>
      </w:tr>
      <w:tr>
        <w:tc>
          <w:tcPr>
            <w:tcW w:type="dxa" w:w="2880"/>
          </w:tcPr>
          <w:p>
            <w:r/>
            <w:r>
              <w:rPr>
                <w:rFonts w:ascii="Calibri" w:hAnsi="Calibri"/>
                <w:b w:val="0"/>
                <w:i w:val="0"/>
                <w:sz w:val="20"/>
              </w:rPr>
              <w:t>Comparison</w:t>
            </w:r>
          </w:p>
        </w:tc>
        <w:tc>
          <w:tcPr>
            <w:tcW w:type="dxa" w:w="2880"/>
          </w:tcPr>
          <w:p>
            <w:r/>
            <w:r>
              <w:rPr>
                <w:rFonts w:ascii="Calibri" w:hAnsi="Calibri"/>
                <w:b w:val="0"/>
                <w:i w:val="0"/>
                <w:sz w:val="20"/>
              </w:rPr>
              <w:t>One-page tearsheet — headline, per-scenario subtotals, per-member breakdown, top-10 assets by impact</w:t>
            </w:r>
          </w:p>
        </w:tc>
        <w:tc>
          <w:tcPr>
            <w:tcW w:type="dxa" w:w="2880"/>
          </w:tcPr>
          <w:p>
            <w:r/>
            <w:r>
              <w:rPr>
                <w:rFonts w:ascii="Calibri" w:hAnsi="Calibri"/>
                <w:b w:val="0"/>
                <w:i w:val="0"/>
                <w:sz w:val="20"/>
              </w:rPr>
              <w:t>No</w:t>
            </w:r>
          </w:p>
        </w:tc>
      </w:tr>
      <w:tr>
        <w:tc>
          <w:tcPr>
            <w:tcW w:type="dxa" w:w="2880"/>
          </w:tcPr>
          <w:p>
            <w:r/>
            <w:r>
              <w:rPr>
                <w:rFonts w:ascii="Calibri" w:hAnsi="Calibri"/>
                <w:b w:val="0"/>
                <w:i w:val="0"/>
                <w:sz w:val="20"/>
              </w:rPr>
              <w:t>Notes</w:t>
            </w:r>
          </w:p>
        </w:tc>
        <w:tc>
          <w:tcPr>
            <w:tcW w:type="dxa" w:w="2880"/>
          </w:tcPr>
          <w:p>
            <w:r/>
            <w:r>
              <w:rPr>
                <w:rFonts w:ascii="Calibri" w:hAnsi="Calibri"/>
                <w:b w:val="0"/>
                <w:i w:val="0"/>
                <w:sz w:val="20"/>
              </w:rPr>
              <w:t>Terminology, caveats, valuation log, provenance</w:t>
            </w:r>
          </w:p>
        </w:tc>
        <w:tc>
          <w:tcPr>
            <w:tcW w:type="dxa" w:w="2880"/>
          </w:tcPr>
          <w:p>
            <w:r/>
            <w:r>
              <w:rPr>
                <w:rFonts w:ascii="Calibri" w:hAnsi="Calibri"/>
                <w:b w:val="0"/>
                <w:i w:val="0"/>
                <w:sz w:val="20"/>
              </w:rPr>
              <w:t>Royal Assent date only</w:t>
            </w:r>
          </w:p>
        </w:tc>
      </w:tr>
    </w:tbl>
    <w:p>
      <w:r>
        <w:rPr>
          <w:rFonts w:ascii="Calibri" w:hAnsi="Calibri"/>
          <w:b w:val="0"/>
          <w:i w:val="0"/>
          <w:sz w:val="22"/>
        </w:rPr>
        <w:t>Read across left to right: Inputs feeds Analyser; Analyser drives the Comparison tearsheet; Notes carries the disclosures. All cross-tab references are live formulas — change a figure on Inputs and every downstream cell updates immediately.</w:t>
      </w:r>
    </w:p>
    <w:p>
      <w:pPr>
        <w:spacing w:before="280" w:after="80"/>
      </w:pPr>
      <w:r>
        <w:rPr>
          <w:rFonts w:ascii="Calibri" w:hAnsi="Calibri"/>
          <w:b/>
          <w:i w:val="0"/>
          <w:color w:val="1D3B34"/>
          <w:sz w:val="32"/>
        </w:rPr>
        <w:t>3. Quick start — five steps</w:t>
      </w:r>
    </w:p>
    <w:p>
      <w:pPr>
        <w:pStyle w:val="ListNumber"/>
      </w:pPr>
      <w:r>
        <w:rPr>
          <w:rFonts w:ascii="Calibri" w:hAnsi="Calibri"/>
          <w:b w:val="0"/>
          <w:i w:val="0"/>
          <w:sz w:val="22"/>
        </w:rPr>
        <w:t>Open the workbook. Note the yellow ‘Sample data preloaded’ badge at the top of the Inputs tab. The model ships with three sample assets (P1, S1, L1) and two sample member TSBs so you can see what a completed analysis looks like before you start.</w:t>
      </w:r>
    </w:p>
    <w:p>
      <w:pPr>
        <w:pStyle w:val="ListNumber"/>
      </w:pPr>
      <w:r>
        <w:rPr>
          <w:rFonts w:ascii="Calibri" w:hAnsi="Calibri"/>
          <w:b w:val="0"/>
          <w:i w:val="0"/>
          <w:sz w:val="22"/>
        </w:rPr>
        <w:t>On the Inputs tab, Section 1 (Members), overwrite the sample TSBs with the fund's actual member balances. The Split %, $3m–$10m band, and above-$10m band columns are auto-derived — leave them alone.</w:t>
      </w:r>
    </w:p>
    <w:p>
      <w:pPr>
        <w:pStyle w:val="ListNumber"/>
      </w:pPr>
      <w:r>
        <w:rPr>
          <w:rFonts w:ascii="Calibri" w:hAnsi="Calibri"/>
          <w:b w:val="0"/>
          <w:i w:val="0"/>
          <w:sz w:val="22"/>
        </w:rPr>
        <w:t>In Section 2 (Asset register), overwrite the sample rows with the fund's CGT assets. The yellow sample-data badge clears automatically the moment every sample input has been replaced.</w:t>
      </w:r>
    </w:p>
    <w:p>
      <w:pPr>
        <w:pStyle w:val="ListNumber"/>
      </w:pPr>
      <w:r>
        <w:rPr>
          <w:rFonts w:ascii="Calibri" w:hAnsi="Calibri"/>
          <w:b w:val="0"/>
          <w:i w:val="0"/>
          <w:sz w:val="22"/>
        </w:rPr>
        <w:t>Section 3 (Advanced assumptions) only needs attention if the ATO publishes a change to a threshold, rate, or indexation step. The defaults match the enacted Division 296 law as at the build date.</w:t>
      </w:r>
    </w:p>
    <w:p>
      <w:pPr>
        <w:pStyle w:val="ListNumber"/>
      </w:pPr>
      <w:r>
        <w:rPr>
          <w:rFonts w:ascii="Calibri" w:hAnsi="Calibri"/>
          <w:b w:val="0"/>
          <w:i w:val="0"/>
          <w:sz w:val="22"/>
        </w:rPr>
        <w:t>Switch to the Comparison tab to read the headline result, then drill into the Analyser tab for per-asset detail.</w:t>
      </w:r>
    </w:p>
    <w:p>
      <w:pPr>
        <w:spacing w:before="280" w:after="80"/>
      </w:pPr>
      <w:r>
        <w:rPr>
          <w:rFonts w:ascii="Calibri" w:hAnsi="Calibri"/>
          <w:b/>
          <w:i w:val="0"/>
          <w:color w:val="1D3B34"/>
          <w:sz w:val="32"/>
        </w:rPr>
        <w:t>4. Inputs tab — what goes where</w:t>
      </w:r>
    </w:p>
    <w:p>
      <w:pPr>
        <w:spacing w:before="200" w:after="40"/>
      </w:pPr>
      <w:r>
        <w:rPr>
          <w:rFonts w:ascii="Calibri" w:hAnsi="Calibri"/>
          <w:b/>
          <w:i w:val="0"/>
          <w:color w:val="3F4F4A"/>
          <w:sz w:val="24"/>
        </w:rPr>
        <w:t>4.1 Section 1 — Members (rows 6–12)</w:t>
      </w:r>
    </w:p>
    <w:p>
      <w:r>
        <w:rPr>
          <w:rFonts w:ascii="Calibri" w:hAnsi="Calibri"/>
          <w:b w:val="0"/>
          <w:i w:val="0"/>
          <w:sz w:val="22"/>
        </w:rPr>
        <w:t>Up to four members. For each, enter Member label (column A — free text) and TSB ($) (column B — current Total Superannuation Balance in dollars). The three derived columns to the right are read-only:</w:t>
      </w:r>
    </w:p>
    <w:p>
      <w:pPr>
        <w:pStyle w:val="ListBullet"/>
      </w:pPr>
      <w:r>
        <w:rPr>
          <w:rFonts w:ascii="Calibri" w:hAnsi="Calibri"/>
          <w:b w:val="0"/>
          <w:i w:val="0"/>
          <w:sz w:val="22"/>
        </w:rPr>
        <w:t>Split % of fund earnings (auto) — each member's TSB ÷ total fund TSB.</w:t>
      </w:r>
    </w:p>
    <w:p>
      <w:pPr>
        <w:pStyle w:val="ListBullet"/>
      </w:pPr>
      <w:r>
        <w:rPr>
          <w:rFonts w:ascii="Calibri" w:hAnsi="Calibri"/>
          <w:b w:val="0"/>
          <w:i w:val="0"/>
          <w:sz w:val="22"/>
        </w:rPr>
        <w:t>Proportion in $3m–$10m band (auto) — band1, taxed at 15%.</w:t>
      </w:r>
    </w:p>
    <w:p>
      <w:pPr>
        <w:pStyle w:val="ListBullet"/>
      </w:pPr>
      <w:r>
        <w:rPr>
          <w:rFonts w:ascii="Calibri" w:hAnsi="Calibri"/>
          <w:b w:val="0"/>
          <w:i w:val="0"/>
          <w:sz w:val="22"/>
        </w:rPr>
        <w:t>Proportion above $10m (auto) — band2, taxed at 25%.</w:t>
      </w:r>
    </w:p>
    <w:p>
      <w:r>
        <w:rPr>
          <w:rFonts w:ascii="Calibri" w:hAnsi="Calibri"/>
          <w:b w:val="0"/>
          <w:i w:val="0"/>
          <w:sz w:val="22"/>
        </w:rPr>
        <w:t>A member with zero TSB renders as a blank data row. The TSB diagnostic traffic-light banner just above the table tells you immediately whether Division 296 applies to this fund (green / amber / deep amber).</w:t>
      </w:r>
    </w:p>
    <w:p>
      <w:pPr>
        <w:spacing w:before="200" w:after="40"/>
      </w:pPr>
      <w:r>
        <w:rPr>
          <w:rFonts w:ascii="Calibri" w:hAnsi="Calibri"/>
          <w:b/>
          <w:i w:val="0"/>
          <w:color w:val="3F4F4A"/>
          <w:sz w:val="24"/>
        </w:rPr>
        <w:t>4.2 Section 2 — Asset register (rows 15–65, 50 rows)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Calibri" w:hAnsi="Calibri"/>
                <w:b/>
                <w:i w:val="0"/>
                <w:sz w:val="20"/>
              </w:rPr>
              <w:t>Column</w:t>
            </w:r>
          </w:p>
        </w:tc>
        <w:tc>
          <w:tcPr>
            <w:tcW w:type="dxa" w:w="2880"/>
          </w:tcPr>
          <w:p>
            <w:r/>
            <w:r>
              <w:rPr>
                <w:rFonts w:ascii="Calibri" w:hAnsi="Calibri"/>
                <w:b/>
                <w:i w:val="0"/>
                <w:sz w:val="20"/>
              </w:rPr>
              <w:t>Header</w:t>
            </w:r>
          </w:p>
        </w:tc>
        <w:tc>
          <w:tcPr>
            <w:tcW w:type="dxa" w:w="2880"/>
          </w:tcPr>
          <w:p>
            <w:r/>
            <w:r>
              <w:rPr>
                <w:rFonts w:ascii="Calibri" w:hAnsi="Calibri"/>
                <w:b/>
                <w:i w:val="0"/>
                <w:sz w:val="20"/>
              </w:rPr>
              <w:t>What to enter</w:t>
            </w:r>
          </w:p>
        </w:tc>
      </w:tr>
      <w:tr>
        <w:tc>
          <w:tcPr>
            <w:tcW w:type="dxa" w:w="2880"/>
          </w:tcPr>
          <w:p>
            <w:r/>
            <w:r>
              <w:rPr>
                <w:rFonts w:ascii="Calibri" w:hAnsi="Calibri"/>
                <w:b w:val="0"/>
                <w:i w:val="0"/>
                <w:sz w:val="20"/>
              </w:rPr>
              <w:t>A</w:t>
            </w:r>
          </w:p>
        </w:tc>
        <w:tc>
          <w:tcPr>
            <w:tcW w:type="dxa" w:w="2880"/>
          </w:tcPr>
          <w:p>
            <w:r/>
            <w:r>
              <w:rPr>
                <w:rFonts w:ascii="Calibri" w:hAnsi="Calibri"/>
                <w:b w:val="0"/>
                <w:i w:val="0"/>
                <w:sz w:val="20"/>
              </w:rPr>
              <w:t>Asset code</w:t>
            </w:r>
          </w:p>
        </w:tc>
        <w:tc>
          <w:tcPr>
            <w:tcW w:type="dxa" w:w="2880"/>
          </w:tcPr>
          <w:p>
            <w:r/>
            <w:r>
              <w:rPr>
                <w:rFonts w:ascii="Calibri" w:hAnsi="Calibri"/>
                <w:b w:val="0"/>
                <w:i w:val="0"/>
                <w:sz w:val="20"/>
              </w:rPr>
              <w:t>Short identifier (e.g. P1, S1). Free text.</w:t>
            </w:r>
          </w:p>
        </w:tc>
      </w:tr>
      <w:tr>
        <w:tc>
          <w:tcPr>
            <w:tcW w:type="dxa" w:w="2880"/>
          </w:tcPr>
          <w:p>
            <w:r/>
            <w:r>
              <w:rPr>
                <w:rFonts w:ascii="Calibri" w:hAnsi="Calibri"/>
                <w:b w:val="0"/>
                <w:i w:val="0"/>
                <w:sz w:val="20"/>
              </w:rPr>
              <w:t>B</w:t>
            </w:r>
          </w:p>
        </w:tc>
        <w:tc>
          <w:tcPr>
            <w:tcW w:type="dxa" w:w="2880"/>
          </w:tcPr>
          <w:p>
            <w:r/>
            <w:r>
              <w:rPr>
                <w:rFonts w:ascii="Calibri" w:hAnsi="Calibri"/>
                <w:b w:val="0"/>
                <w:i w:val="0"/>
                <w:sz w:val="20"/>
              </w:rPr>
              <w:t>Asset name</w:t>
            </w:r>
          </w:p>
        </w:tc>
        <w:tc>
          <w:tcPr>
            <w:tcW w:type="dxa" w:w="2880"/>
          </w:tcPr>
          <w:p>
            <w:r/>
            <w:r>
              <w:rPr>
                <w:rFonts w:ascii="Calibri" w:hAnsi="Calibri"/>
                <w:b w:val="0"/>
                <w:i w:val="0"/>
                <w:sz w:val="20"/>
              </w:rPr>
              <w:t>Plain-language description (e.g. ‘Commercial property’).</w:t>
            </w:r>
          </w:p>
        </w:tc>
      </w:tr>
      <w:tr>
        <w:tc>
          <w:tcPr>
            <w:tcW w:type="dxa" w:w="2880"/>
          </w:tcPr>
          <w:p>
            <w:r/>
            <w:r>
              <w:rPr>
                <w:rFonts w:ascii="Calibri" w:hAnsi="Calibri"/>
                <w:b w:val="0"/>
                <w:i w:val="0"/>
                <w:sz w:val="20"/>
              </w:rPr>
              <w:t>C</w:t>
            </w:r>
          </w:p>
        </w:tc>
        <w:tc>
          <w:tcPr>
            <w:tcW w:type="dxa" w:w="2880"/>
          </w:tcPr>
          <w:p>
            <w:r/>
            <w:r>
              <w:rPr>
                <w:rFonts w:ascii="Calibri" w:hAnsi="Calibri"/>
                <w:b w:val="0"/>
                <w:i w:val="0"/>
                <w:sz w:val="20"/>
              </w:rPr>
              <w:t>Original cost base</w:t>
            </w:r>
          </w:p>
        </w:tc>
        <w:tc>
          <w:tcPr>
            <w:tcW w:type="dxa" w:w="2880"/>
          </w:tcPr>
          <w:p>
            <w:r/>
            <w:r>
              <w:rPr>
                <w:rFonts w:ascii="Calibri" w:hAnsi="Calibri"/>
                <w:b w:val="0"/>
                <w:i w:val="0"/>
                <w:sz w:val="20"/>
              </w:rPr>
              <w:t>The asset's pre-reset cost base — used for ordinary CGT.</w:t>
            </w:r>
          </w:p>
        </w:tc>
      </w:tr>
      <w:tr>
        <w:tc>
          <w:tcPr>
            <w:tcW w:type="dxa" w:w="2880"/>
          </w:tcPr>
          <w:p>
            <w:r/>
            <w:r>
              <w:rPr>
                <w:rFonts w:ascii="Calibri" w:hAnsi="Calibri"/>
                <w:b w:val="0"/>
                <w:i w:val="0"/>
                <w:sz w:val="20"/>
              </w:rPr>
              <w:t>D</w:t>
            </w:r>
          </w:p>
        </w:tc>
        <w:tc>
          <w:tcPr>
            <w:tcW w:type="dxa" w:w="2880"/>
          </w:tcPr>
          <w:p>
            <w:r/>
            <w:r>
              <w:rPr>
                <w:rFonts w:ascii="Calibri" w:hAnsi="Calibri"/>
                <w:b w:val="0"/>
                <w:i w:val="0"/>
                <w:sz w:val="20"/>
              </w:rPr>
              <w:t>Current market value (as at today)</w:t>
            </w:r>
          </w:p>
        </w:tc>
        <w:tc>
          <w:tcPr>
            <w:tcW w:type="dxa" w:w="2880"/>
          </w:tcPr>
          <w:p>
            <w:r/>
            <w:r>
              <w:rPr>
                <w:rFonts w:ascii="Calibri" w:hAnsi="Calibri"/>
                <w:b w:val="0"/>
                <w:i w:val="0"/>
                <w:sz w:val="20"/>
              </w:rPr>
              <w:t>Optional context; not used in tax calcs. Useful for reviewer sanity-check.</w:t>
            </w:r>
          </w:p>
        </w:tc>
      </w:tr>
      <w:tr>
        <w:tc>
          <w:tcPr>
            <w:tcW w:type="dxa" w:w="2880"/>
          </w:tcPr>
          <w:p>
            <w:r/>
            <w:r>
              <w:rPr>
                <w:rFonts w:ascii="Calibri" w:hAnsi="Calibri"/>
                <w:b w:val="0"/>
                <w:i w:val="0"/>
                <w:sz w:val="20"/>
              </w:rPr>
              <w:t>E</w:t>
            </w:r>
          </w:p>
        </w:tc>
        <w:tc>
          <w:tcPr>
            <w:tcW w:type="dxa" w:w="2880"/>
          </w:tcPr>
          <w:p>
            <w:r/>
            <w:r>
              <w:rPr>
                <w:rFonts w:ascii="Calibri" w:hAnsi="Calibri"/>
                <w:b w:val="0"/>
                <w:i w:val="0"/>
                <w:sz w:val="20"/>
              </w:rPr>
              <w:t>Market value at 30 Jun 2026</w:t>
            </w:r>
          </w:p>
        </w:tc>
        <w:tc>
          <w:tcPr>
            <w:tcW w:type="dxa" w:w="2880"/>
          </w:tcPr>
          <w:p>
            <w:r/>
            <w:r>
              <w:rPr>
                <w:rFonts w:ascii="Calibri" w:hAnsi="Calibri"/>
                <w:b w:val="0"/>
                <w:i w:val="0"/>
                <w:sz w:val="20"/>
              </w:rPr>
              <w:t>Load-bearing input. Used as the Division 296 cost base if reset is elected.</w:t>
            </w:r>
          </w:p>
        </w:tc>
      </w:tr>
      <w:tr>
        <w:tc>
          <w:tcPr>
            <w:tcW w:type="dxa" w:w="2880"/>
          </w:tcPr>
          <w:p>
            <w:r/>
            <w:r>
              <w:rPr>
                <w:rFonts w:ascii="Calibri" w:hAnsi="Calibri"/>
                <w:b w:val="0"/>
                <w:i w:val="0"/>
                <w:sz w:val="20"/>
              </w:rPr>
              <w:t>F</w:t>
            </w:r>
          </w:p>
        </w:tc>
        <w:tc>
          <w:tcPr>
            <w:tcW w:type="dxa" w:w="2880"/>
          </w:tcPr>
          <w:p>
            <w:r/>
            <w:r>
              <w:rPr>
                <w:rFonts w:ascii="Calibri" w:hAnsi="Calibri"/>
                <w:b w:val="0"/>
                <w:i w:val="0"/>
                <w:sz w:val="20"/>
              </w:rPr>
              <w:t>Valuation source / date</w:t>
            </w:r>
          </w:p>
        </w:tc>
        <w:tc>
          <w:tcPr>
            <w:tcW w:type="dxa" w:w="2880"/>
          </w:tcPr>
          <w:p>
            <w:r/>
            <w:r>
              <w:rPr>
                <w:rFonts w:ascii="Calibri" w:hAnsi="Calibri"/>
                <w:b w:val="0"/>
                <w:i w:val="0"/>
                <w:sz w:val="20"/>
              </w:rPr>
              <w:t>Free text — e.g. ‘Independent val, 30/06/26’. Mirrored to the Notes valuation log.</w:t>
            </w:r>
          </w:p>
        </w:tc>
      </w:tr>
      <w:tr>
        <w:tc>
          <w:tcPr>
            <w:tcW w:type="dxa" w:w="2880"/>
          </w:tcPr>
          <w:p>
            <w:r/>
            <w:r>
              <w:rPr>
                <w:rFonts w:ascii="Calibri" w:hAnsi="Calibri"/>
                <w:b w:val="0"/>
                <w:i w:val="0"/>
                <w:sz w:val="20"/>
              </w:rPr>
              <w:t>G</w:t>
            </w:r>
          </w:p>
        </w:tc>
        <w:tc>
          <w:tcPr>
            <w:tcW w:type="dxa" w:w="2880"/>
          </w:tcPr>
          <w:p>
            <w:r/>
            <w:r>
              <w:rPr>
                <w:rFonts w:ascii="Calibri" w:hAnsi="Calibri"/>
                <w:b w:val="0"/>
                <w:i w:val="0"/>
                <w:sz w:val="20"/>
              </w:rPr>
              <w:t>Projected sale proceeds</w:t>
            </w:r>
          </w:p>
        </w:tc>
        <w:tc>
          <w:tcPr>
            <w:tcW w:type="dxa" w:w="2880"/>
          </w:tcPr>
          <w:p>
            <w:r/>
            <w:r>
              <w:rPr>
                <w:rFonts w:ascii="Calibri" w:hAnsi="Calibri"/>
                <w:b w:val="0"/>
                <w:i w:val="0"/>
                <w:sz w:val="20"/>
              </w:rPr>
              <w:t>Expected cash on disposal. If you're not modelling a sale, leave blank — the row will be excluded from totals and an amber banner will tell you so.</w:t>
            </w:r>
          </w:p>
        </w:tc>
      </w:tr>
      <w:tr>
        <w:tc>
          <w:tcPr>
            <w:tcW w:type="dxa" w:w="2880"/>
          </w:tcPr>
          <w:p>
            <w:r/>
            <w:r>
              <w:rPr>
                <w:rFonts w:ascii="Calibri" w:hAnsi="Calibri"/>
                <w:b w:val="0"/>
                <w:i w:val="0"/>
                <w:sz w:val="20"/>
              </w:rPr>
              <w:t>H</w:t>
            </w:r>
          </w:p>
        </w:tc>
        <w:tc>
          <w:tcPr>
            <w:tcW w:type="dxa" w:w="2880"/>
          </w:tcPr>
          <w:p>
            <w:r/>
            <w:r>
              <w:rPr>
                <w:rFonts w:ascii="Calibri" w:hAnsi="Calibri"/>
                <w:b w:val="0"/>
                <w:i w:val="0"/>
                <w:sz w:val="20"/>
              </w:rPr>
              <w:t>Projected gain/loss</w:t>
            </w:r>
          </w:p>
        </w:tc>
        <w:tc>
          <w:tcPr>
            <w:tcW w:type="dxa" w:w="2880"/>
          </w:tcPr>
          <w:p>
            <w:r/>
            <w:r>
              <w:rPr>
                <w:rFonts w:ascii="Calibri" w:hAnsi="Calibri"/>
                <w:b w:val="0"/>
                <w:i w:val="0"/>
                <w:sz w:val="20"/>
              </w:rPr>
              <w:t>Formula — locked. = proceeds − original cost base. Don't touch.</w:t>
            </w:r>
          </w:p>
        </w:tc>
      </w:tr>
      <w:tr>
        <w:tc>
          <w:tcPr>
            <w:tcW w:type="dxa" w:w="2880"/>
          </w:tcPr>
          <w:p>
            <w:r/>
            <w:r>
              <w:rPr>
                <w:rFonts w:ascii="Calibri" w:hAnsi="Calibri"/>
                <w:b w:val="0"/>
                <w:i w:val="0"/>
                <w:sz w:val="20"/>
              </w:rPr>
              <w:t>I</w:t>
            </w:r>
          </w:p>
        </w:tc>
        <w:tc>
          <w:tcPr>
            <w:tcW w:type="dxa" w:w="2880"/>
          </w:tcPr>
          <w:p>
            <w:r/>
            <w:r>
              <w:rPr>
                <w:rFonts w:ascii="Calibri" w:hAnsi="Calibri"/>
                <w:b w:val="0"/>
                <w:i w:val="0"/>
                <w:sz w:val="20"/>
              </w:rPr>
              <w:t>Held &gt; 12 months?</w:t>
            </w:r>
          </w:p>
        </w:tc>
        <w:tc>
          <w:tcPr>
            <w:tcW w:type="dxa" w:w="2880"/>
          </w:tcPr>
          <w:p>
            <w:r/>
            <w:r>
              <w:rPr>
                <w:rFonts w:ascii="Calibri" w:hAnsi="Calibri"/>
                <w:b w:val="0"/>
                <w:i w:val="0"/>
                <w:sz w:val="20"/>
              </w:rPr>
              <w:t>Yes or No (dropdown). Drives the 1/3 CGT discount eligibility.</w:t>
            </w:r>
          </w:p>
        </w:tc>
      </w:tr>
    </w:tbl>
    <w:p>
      <w:pPr>
        <w:spacing w:before="160" w:after="160"/>
      </w:pPr>
      <w:r>
        <w:rPr>
          <w:rFonts w:ascii="Calibri" w:hAnsi="Calibri"/>
          <w:b/>
          <w:i w:val="0"/>
          <w:color w:val="A61B1B"/>
          <w:sz w:val="22"/>
        </w:rPr>
        <w:t xml:space="preserve">Important.  </w:t>
      </w:r>
      <w:r>
        <w:rPr>
          <w:rFonts w:ascii="Calibri" w:hAnsi="Calibri"/>
          <w:b w:val="0"/>
          <w:i w:val="0"/>
          <w:color w:val="A61B1B"/>
          <w:sz w:val="22"/>
        </w:rPr>
        <w:t>If you enter Projected sale proceeds (col G) for a row but leave Market value at 30 Jun 2026 (col E) blank, that whole row is excluded from every figure. A red banner on Inputs flags this so it can't go unnoticed.</w:t>
      </w:r>
    </w:p>
    <w:p>
      <w:pPr>
        <w:spacing w:before="200" w:after="40"/>
      </w:pPr>
      <w:r>
        <w:rPr>
          <w:rFonts w:ascii="Calibri" w:hAnsi="Calibri"/>
          <w:b/>
          <w:i w:val="0"/>
          <w:color w:val="3F4F4A"/>
          <w:sz w:val="24"/>
        </w:rPr>
        <w:t>4.3 Section 3 — Advanced assumptions (rows 67–75)</w:t>
      </w:r>
    </w:p>
    <w:p>
      <w:r>
        <w:rPr>
          <w:rFonts w:ascii="Calibri" w:hAnsi="Calibri"/>
          <w:b w:val="0"/>
          <w:i w:val="0"/>
          <w:sz w:val="22"/>
        </w:rPr>
        <w:t>Eight named-range cells that feed every downstream formula. The defaults match the enacted law:</w:t>
      </w:r>
    </w:p>
    <w:p>
      <w:pPr>
        <w:pStyle w:val="ListBullet"/>
      </w:pPr>
      <w:r>
        <w:rPr>
          <w:rFonts w:ascii="Calibri" w:hAnsi="Calibri"/>
          <w:b w:val="0"/>
          <w:i w:val="0"/>
          <w:sz w:val="22"/>
        </w:rPr>
        <w:t>Tier 1 rate (15%) — applied to the $3m–$10m TSB slice.</w:t>
      </w:r>
    </w:p>
    <w:p>
      <w:pPr>
        <w:pStyle w:val="ListBullet"/>
      </w:pPr>
      <w:r>
        <w:rPr>
          <w:rFonts w:ascii="Calibri" w:hAnsi="Calibri"/>
          <w:b w:val="0"/>
          <w:i w:val="0"/>
          <w:sz w:val="22"/>
        </w:rPr>
        <w:t>Tier 2 rate (25%) — applied to the slice above $10m.</w:t>
      </w:r>
    </w:p>
    <w:p>
      <w:pPr>
        <w:pStyle w:val="ListBullet"/>
      </w:pPr>
      <w:r>
        <w:rPr>
          <w:rFonts w:ascii="Calibri" w:hAnsi="Calibri"/>
          <w:b w:val="0"/>
          <w:i w:val="0"/>
          <w:sz w:val="22"/>
        </w:rPr>
        <w:t>Threshold 1 ($3,000,000) and Threshold 2 ($10,000,000).</w:t>
      </w:r>
    </w:p>
    <w:p>
      <w:pPr>
        <w:pStyle w:val="ListBullet"/>
      </w:pPr>
      <w:r>
        <w:rPr>
          <w:rFonts w:ascii="Calibri" w:hAnsi="Calibri"/>
          <w:b w:val="0"/>
          <w:i w:val="0"/>
          <w:sz w:val="22"/>
        </w:rPr>
        <w:t>CGT discount rate (1/3 = 33.333%) — s115-100 ITAA 1997.</w:t>
      </w:r>
    </w:p>
    <w:p>
      <w:pPr>
        <w:pStyle w:val="ListBullet"/>
      </w:pPr>
      <w:r>
        <w:rPr>
          <w:rFonts w:ascii="Calibri" w:hAnsi="Calibri"/>
          <w:b w:val="0"/>
          <w:i w:val="0"/>
          <w:sz w:val="22"/>
        </w:rPr>
        <w:t>Fund CGT rate (15%) — accumulation phase.</w:t>
      </w:r>
    </w:p>
    <w:p>
      <w:pPr>
        <w:pStyle w:val="ListBullet"/>
      </w:pPr>
      <w:r>
        <w:rPr>
          <w:rFonts w:ascii="Calibri" w:hAnsi="Calibri"/>
          <w:b w:val="0"/>
          <w:i w:val="0"/>
          <w:sz w:val="22"/>
        </w:rPr>
        <w:t>Indexation increments for both thresholds (used for forward-looking modelling).</w:t>
      </w:r>
    </w:p>
    <w:p>
      <w:r>
        <w:rPr>
          <w:rFonts w:ascii="Calibri" w:hAnsi="Calibri"/>
          <w:b w:val="0"/>
          <w:i w:val="0"/>
          <w:sz w:val="22"/>
        </w:rPr>
        <w:t>Change these only if you're modelling a regulator update or a scenario the defaults don't capture. They are intentionally pulled out so any reviewer can see exactly what assumption produced any given number.</w:t>
      </w:r>
    </w:p>
    <w:p>
      <w:pPr>
        <w:spacing w:before="280" w:after="80"/>
      </w:pPr>
      <w:r>
        <w:rPr>
          <w:rFonts w:ascii="Calibri" w:hAnsi="Calibri"/>
          <w:b/>
          <w:i w:val="0"/>
          <w:color w:val="1D3B34"/>
          <w:sz w:val="32"/>
        </w:rPr>
        <w:t>5. Analyser tab — reading the answer</w:t>
      </w:r>
    </w:p>
    <w:p>
      <w:r>
        <w:rPr>
          <w:rFonts w:ascii="Calibri" w:hAnsi="Calibri"/>
          <w:b w:val="0"/>
          <w:i w:val="0"/>
          <w:sz w:val="22"/>
        </w:rPr>
        <w:t>The Analyser is laid out so the headline result is at the top of the tab and detail is below.</w:t>
      </w:r>
    </w:p>
    <w:p>
      <w:pPr>
        <w:spacing w:before="200" w:after="40"/>
      </w:pPr>
      <w:r>
        <w:rPr>
          <w:rFonts w:ascii="Calibri" w:hAnsi="Calibri"/>
          <w:b/>
          <w:i w:val="0"/>
          <w:color w:val="3F4F4A"/>
          <w:sz w:val="24"/>
        </w:rPr>
        <w:t>5.1 Fund summary (rows 6–13)</w:t>
      </w:r>
    </w:p>
    <w:p>
      <w:r>
        <w:rPr>
          <w:rFonts w:ascii="Calibri" w:hAnsi="Calibri"/>
          <w:b w:val="0"/>
          <w:i w:val="0"/>
          <w:sz w:val="22"/>
        </w:rPr>
        <w:t>Side-by-side, three columns: If no reset · If elected to reset · Difference. Read the bottom row (‘Total Div 296 tax’) for the headline impact of the election. The Difference column is signed:</w:t>
      </w:r>
    </w:p>
    <w:p>
      <w:pPr>
        <w:pStyle w:val="ListBullet"/>
      </w:pPr>
      <w:r>
        <w:rPr>
          <w:rFonts w:ascii="Calibri" w:hAnsi="Calibri"/>
          <w:b w:val="0"/>
          <w:i w:val="0"/>
          <w:sz w:val="22"/>
        </w:rPr>
        <w:t>Negative (green) — electing the reset reduces Division 296 tax.</w:t>
      </w:r>
    </w:p>
    <w:p>
      <w:pPr>
        <w:pStyle w:val="ListBullet"/>
      </w:pPr>
      <w:r>
        <w:rPr>
          <w:rFonts w:ascii="Calibri" w:hAnsi="Calibri"/>
          <w:b w:val="0"/>
          <w:i w:val="0"/>
          <w:sz w:val="22"/>
        </w:rPr>
        <w:t>Positive (red) — electing the reset costs more Division 296 tax (the ‘reset trap’, typically when assets are sitting at an unrealised loss at 30 June 2026).</w:t>
      </w:r>
    </w:p>
    <w:p>
      <w:pPr>
        <w:spacing w:before="200" w:after="40"/>
      </w:pPr>
      <w:r>
        <w:rPr>
          <w:rFonts w:ascii="Calibri" w:hAnsi="Calibri"/>
          <w:b/>
          <w:i w:val="0"/>
          <w:color w:val="3F4F4A"/>
          <w:sz w:val="24"/>
        </w:rPr>
        <w:t>5.2 Per-asset analysis (rows 15–67)</w:t>
      </w:r>
    </w:p>
    <w:p>
      <w:r>
        <w:rPr>
          <w:rFonts w:ascii="Calibri" w:hAnsi="Calibri"/>
          <w:b w:val="0"/>
          <w:i w:val="0"/>
          <w:sz w:val="22"/>
        </w:rPr>
        <w:t>Always shows the elected-reset scenario. Twelve visible columns; the ones that matter to most readers are:</w:t>
      </w:r>
    </w:p>
    <w:p>
      <w:pPr>
        <w:pStyle w:val="ListBullet"/>
      </w:pPr>
      <w:r>
        <w:rPr>
          <w:rFonts w:ascii="Calibri" w:hAnsi="Calibri"/>
          <w:b w:val="0"/>
          <w:i w:val="0"/>
          <w:sz w:val="22"/>
        </w:rPr>
        <w:t>K — Div 296 tax (the only authoritative per-asset tax number).</w:t>
      </w:r>
    </w:p>
    <w:p>
      <w:pPr>
        <w:pStyle w:val="ListBullet"/>
      </w:pPr>
      <w:r>
        <w:rPr>
          <w:rFonts w:ascii="Calibri" w:hAnsi="Calibri"/>
          <w:b w:val="0"/>
          <w:i w:val="0"/>
          <w:sz w:val="22"/>
        </w:rPr>
        <w:t>L — Reset impact (signed: −ve = reset reduces this asset's Div 296 burden; +ve = the asset is a reset-trap candidate).</w:t>
      </w:r>
    </w:p>
    <w:p>
      <w:pPr>
        <w:pStyle w:val="ListBullet"/>
      </w:pPr>
      <w:r>
        <w:rPr>
          <w:rFonts w:ascii="Calibri" w:hAnsi="Calibri"/>
          <w:b w:val="0"/>
          <w:i w:val="0"/>
          <w:sz w:val="22"/>
        </w:rPr>
        <w:t>E — Ord gross gain and G — Per-asset Ord CGT are diagnostic, greyed, and explicitly do NOT sum to the fund Ord CGT figure on the Reconciliation panel (capital losses net at the fund level, not per asset). Read the headline number on Reconciliation, not the per-asset sum.</w:t>
      </w:r>
    </w:p>
    <w:p>
      <w:pPr>
        <w:spacing w:before="200" w:after="40"/>
      </w:pPr>
      <w:r>
        <w:rPr>
          <w:rFonts w:ascii="Calibri" w:hAnsi="Calibri"/>
          <w:b/>
          <w:i w:val="0"/>
          <w:color w:val="3F4F4A"/>
          <w:sz w:val="24"/>
        </w:rPr>
        <w:t>5.3 Reconciliation (rows 70–74)</w:t>
      </w:r>
    </w:p>
    <w:p>
      <w:r>
        <w:rPr>
          <w:rFonts w:ascii="Calibri" w:hAnsi="Calibri"/>
          <w:b w:val="0"/>
          <w:i w:val="0"/>
          <w:sz w:val="22"/>
        </w:rPr>
        <w:t>Authoritative fund-level numbers: Ordinary CGT (after intra-year capital-loss netting), Division 296 tax payable (matches the headline), and any current-year net unused capital loss carried forward.</w:t>
      </w:r>
    </w:p>
    <w:p>
      <w:pPr>
        <w:spacing w:before="280" w:after="80"/>
      </w:pPr>
      <w:r>
        <w:rPr>
          <w:rFonts w:ascii="Calibri" w:hAnsi="Calibri"/>
          <w:b/>
          <w:i w:val="0"/>
          <w:color w:val="1D3B34"/>
          <w:sz w:val="32"/>
        </w:rPr>
        <w:t>6. Comparison tab — the one-page tearsheet</w:t>
      </w:r>
    </w:p>
    <w:p>
      <w:r>
        <w:rPr>
          <w:rFonts w:ascii="Calibri" w:hAnsi="Calibri"/>
          <w:b w:val="0"/>
          <w:i w:val="0"/>
          <w:sz w:val="22"/>
        </w:rPr>
        <w:t>Print-ready landscape A4. Stable layout suitable for a client meeting or file note:</w:t>
      </w:r>
    </w:p>
    <w:p>
      <w:pPr>
        <w:pStyle w:val="ListBullet"/>
      </w:pPr>
      <w:r>
        <w:rPr>
          <w:rFonts w:ascii="Calibri" w:hAnsi="Calibri"/>
          <w:b w:val="0"/>
          <w:i w:val="0"/>
          <w:sz w:val="22"/>
        </w:rPr>
        <w:t>Header — fund / prepared by / date / version.</w:t>
      </w:r>
    </w:p>
    <w:p>
      <w:pPr>
        <w:pStyle w:val="ListBullet"/>
      </w:pPr>
      <w:r>
        <w:rPr>
          <w:rFonts w:ascii="Calibri" w:hAnsi="Calibri"/>
          <w:b w:val="0"/>
          <w:i w:val="0"/>
          <w:sz w:val="22"/>
        </w:rPr>
        <w:t>Members &amp; TSB strip — each member's balance and the fund total.</w:t>
      </w:r>
    </w:p>
    <w:p>
      <w:pPr>
        <w:pStyle w:val="ListBullet"/>
      </w:pPr>
      <w:r>
        <w:rPr>
          <w:rFonts w:ascii="Calibri" w:hAnsi="Calibri"/>
          <w:b w:val="0"/>
          <w:i w:val="0"/>
          <w:sz w:val="22"/>
        </w:rPr>
        <w:t>Headline cards — total Div 296 tax under each scenario and the net effect (signed).</w:t>
      </w:r>
    </w:p>
    <w:p>
      <w:pPr>
        <w:pStyle w:val="ListBullet"/>
      </w:pPr>
      <w:r>
        <w:rPr>
          <w:rFonts w:ascii="Calibri" w:hAnsi="Calibri"/>
          <w:b w:val="0"/>
          <w:i w:val="0"/>
          <w:sz w:val="22"/>
        </w:rPr>
        <w:t>Per-scenario subtotals — Earnings, Ord CGT (unchanged), Div 296 tax, Total burden.</w:t>
      </w:r>
    </w:p>
    <w:p>
      <w:pPr>
        <w:pStyle w:val="ListBullet"/>
      </w:pPr>
      <w:r>
        <w:rPr>
          <w:rFonts w:ascii="Calibri" w:hAnsi="Calibri"/>
          <w:b w:val="0"/>
          <w:i w:val="0"/>
          <w:sz w:val="22"/>
        </w:rPr>
        <w:t>Per-member breakdown — TSB and Div 296 tax for both scenarios.</w:t>
      </w:r>
    </w:p>
    <w:p>
      <w:pPr>
        <w:pStyle w:val="ListBullet"/>
      </w:pPr>
      <w:r>
        <w:rPr>
          <w:rFonts w:ascii="Calibri" w:hAnsi="Calibri"/>
          <w:b w:val="0"/>
          <w:i w:val="0"/>
          <w:sz w:val="22"/>
        </w:rPr>
        <w:t>Per-asset detail — top 10 assets by absolute change in Div 296 tax, with an overflow note pointing at the Analyser for the full register.</w:t>
      </w:r>
    </w:p>
    <w:p>
      <w:pPr>
        <w:spacing w:before="280" w:after="80"/>
      </w:pPr>
      <w:r>
        <w:rPr>
          <w:rFonts w:ascii="Calibri" w:hAnsi="Calibri"/>
          <w:b/>
          <w:i w:val="0"/>
          <w:color w:val="1D3B34"/>
          <w:sz w:val="32"/>
        </w:rPr>
        <w:t>7. Notes tab — what's there</w:t>
      </w:r>
    </w:p>
    <w:p>
      <w:r>
        <w:rPr>
          <w:rFonts w:ascii="Calibri" w:hAnsi="Calibri"/>
          <w:b w:val="0"/>
          <w:i w:val="0"/>
          <w:sz w:val="22"/>
        </w:rPr>
        <w:t>Read-only except the Royal Assent date cell. Carries:</w:t>
      </w:r>
    </w:p>
    <w:p>
      <w:pPr>
        <w:pStyle w:val="ListBullet"/>
      </w:pPr>
      <w:r>
        <w:rPr>
          <w:rFonts w:ascii="Calibri" w:hAnsi="Calibri"/>
          <w:b w:val="0"/>
          <w:i w:val="0"/>
          <w:sz w:val="22"/>
        </w:rPr>
        <w:t>Terminology — definitions for every domain term used in the model.</w:t>
      </w:r>
    </w:p>
    <w:p>
      <w:pPr>
        <w:pStyle w:val="ListBullet"/>
      </w:pPr>
      <w:r>
        <w:rPr>
          <w:rFonts w:ascii="Calibri" w:hAnsi="Calibri"/>
          <w:b w:val="0"/>
          <w:i w:val="0"/>
          <w:sz w:val="22"/>
        </w:rPr>
        <w:t>Caveats — the assumptions and exclusions you must hold in mind when reading any number (prior-year losses, pension phase, wash sale risk, transaction costs, alternative levers, etc.).</w:t>
      </w:r>
    </w:p>
    <w:p>
      <w:pPr>
        <w:pStyle w:val="ListBullet"/>
      </w:pPr>
      <w:r>
        <w:rPr>
          <w:rFonts w:ascii="Calibri" w:hAnsi="Calibri"/>
          <w:b w:val="0"/>
          <w:i w:val="0"/>
          <w:sz w:val="22"/>
        </w:rPr>
        <w:t>Valuation log — mirrors each asset's valuation source/date and 30 Jun 2026 market value, so the file carries its own audit trail.</w:t>
      </w:r>
    </w:p>
    <w:p>
      <w:pPr>
        <w:pStyle w:val="ListBullet"/>
      </w:pPr>
      <w:r>
        <w:rPr>
          <w:rFonts w:ascii="Calibri" w:hAnsi="Calibri"/>
          <w:b w:val="0"/>
          <w:i w:val="0"/>
          <w:sz w:val="22"/>
        </w:rPr>
        <w:t>Hidden provenance block — build version, build date, git short SHA.</w:t>
      </w:r>
    </w:p>
    <w:p>
      <w:pPr>
        <w:spacing w:before="280" w:after="80"/>
      </w:pPr>
      <w:r>
        <w:rPr>
          <w:rFonts w:ascii="Calibri" w:hAnsi="Calibri"/>
          <w:b/>
          <w:i w:val="0"/>
          <w:color w:val="1D3B34"/>
          <w:sz w:val="32"/>
        </w:rPr>
        <w:t>8. Caveats you must hold in mind</w:t>
      </w:r>
    </w:p>
    <w:p>
      <w:pPr>
        <w:pStyle w:val="ListBullet"/>
      </w:pPr>
      <w:r>
        <w:rPr>
          <w:rFonts w:ascii="Calibri" w:hAnsi="Calibri"/>
          <w:b w:val="0"/>
          <w:i w:val="0"/>
          <w:sz w:val="22"/>
        </w:rPr>
        <w:t>Prior-year capital losses are not modelled. The workbook nets gains and losses within the current income year but takes no brought-forward balance as an input — apply any carry-forward losses outside the model.</w:t>
      </w:r>
    </w:p>
    <w:p>
      <w:pPr>
        <w:pStyle w:val="ListBullet"/>
      </w:pPr>
      <w:r>
        <w:rPr>
          <w:rFonts w:ascii="Calibri" w:hAnsi="Calibri"/>
          <w:b w:val="0"/>
          <w:i w:val="0"/>
          <w:sz w:val="22"/>
        </w:rPr>
        <w:t>Pension phase is not modelled. The model assumes 100% accumulation phase (fund earnings tax = 15%). For funds with pension members it overstates ordinary CGT and the reset's relative attractiveness.</w:t>
      </w:r>
    </w:p>
    <w:p>
      <w:pPr>
        <w:pStyle w:val="ListBullet"/>
      </w:pPr>
      <w:r>
        <w:rPr>
          <w:rFonts w:ascii="Calibri" w:hAnsi="Calibri"/>
          <w:b w:val="0"/>
          <w:i w:val="0"/>
          <w:sz w:val="22"/>
        </w:rPr>
        <w:t>Reset-OFF is realised-only. In reality, Division 296 with no reset is assessed on the year-on-year movement in TSB (realised + unrealised). The Comparison tab compares realised vs realised, so it understates the no-reset Division 296 burden.</w:t>
      </w:r>
    </w:p>
    <w:p>
      <w:pPr>
        <w:pStyle w:val="ListBullet"/>
      </w:pPr>
      <w:r>
        <w:rPr>
          <w:rFonts w:ascii="Calibri" w:hAnsi="Calibri"/>
          <w:b w:val="0"/>
          <w:i w:val="0"/>
          <w:sz w:val="22"/>
        </w:rPr>
        <w:t>Multi-member splits are TSB-proportional. A real fund determines each member's share via an actuarial certificate on time-weighted average balances. The model approximates with current-TSB share.</w:t>
      </w:r>
    </w:p>
    <w:p>
      <w:pPr>
        <w:pStyle w:val="ListBullet"/>
      </w:pPr>
      <w:r>
        <w:rPr>
          <w:rFonts w:ascii="Calibri" w:hAnsi="Calibri"/>
          <w:b w:val="0"/>
          <w:i w:val="0"/>
          <w:sz w:val="22"/>
        </w:rPr>
        <w:t>Wash sale / Part IVA risk. Pre-30 June 2026 disposals purely for the tax outcome sit in anti-avoidance territory (TR 2008/1, Part IVA).</w:t>
      </w:r>
    </w:p>
    <w:p>
      <w:pPr>
        <w:pStyle w:val="ListBullet"/>
      </w:pPr>
      <w:r>
        <w:rPr>
          <w:rFonts w:ascii="Calibri" w:hAnsi="Calibri"/>
          <w:b w:val="0"/>
          <w:i w:val="0"/>
          <w:sz w:val="22"/>
        </w:rPr>
        <w:t>Transaction costs (brokerage, stamp duty, illiquidity, market-timing) are not modelled.</w:t>
      </w:r>
    </w:p>
    <w:p>
      <w:pPr>
        <w:pStyle w:val="ListBullet"/>
      </w:pPr>
      <w:r>
        <w:rPr>
          <w:rFonts w:ascii="Calibri" w:hAnsi="Calibri"/>
          <w:b w:val="0"/>
          <w:i w:val="0"/>
          <w:sz w:val="22"/>
        </w:rPr>
        <w:t>Sheet protection is tamper-evident, not tamper-proof. It exists to prevent accidental overwrites, not enforce immutability.</w:t>
      </w:r>
    </w:p>
    <w:p>
      <w:pPr>
        <w:spacing w:before="280" w:after="80"/>
      </w:pPr>
      <w:r>
        <w:rPr>
          <w:rFonts w:ascii="Calibri" w:hAnsi="Calibri"/>
          <w:b/>
          <w:i w:val="0"/>
          <w:color w:val="1D3B34"/>
          <w:sz w:val="32"/>
        </w:rPr>
        <w:t>9. Troubleshooting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Calibri" w:hAnsi="Calibri"/>
                <w:b/>
                <w:i w:val="0"/>
                <w:sz w:val="20"/>
              </w:rPr>
              <w:t>Symptom</w:t>
            </w:r>
          </w:p>
        </w:tc>
        <w:tc>
          <w:tcPr>
            <w:tcW w:type="dxa" w:w="2880"/>
          </w:tcPr>
          <w:p>
            <w:r/>
            <w:r>
              <w:rPr>
                <w:rFonts w:ascii="Calibri" w:hAnsi="Calibri"/>
                <w:b/>
                <w:i w:val="0"/>
                <w:sz w:val="20"/>
              </w:rPr>
              <w:t>What it means</w:t>
            </w:r>
          </w:p>
        </w:tc>
        <w:tc>
          <w:tcPr>
            <w:tcW w:type="dxa" w:w="2880"/>
          </w:tcPr>
          <w:p>
            <w:r/>
            <w:r>
              <w:rPr>
                <w:rFonts w:ascii="Calibri" w:hAnsi="Calibri"/>
                <w:b/>
                <w:i w:val="0"/>
                <w:sz w:val="20"/>
              </w:rPr>
              <w:t>What to do</w:t>
            </w:r>
          </w:p>
        </w:tc>
      </w:tr>
      <w:tr>
        <w:tc>
          <w:tcPr>
            <w:tcW w:type="dxa" w:w="2880"/>
          </w:tcPr>
          <w:p>
            <w:r/>
            <w:r>
              <w:rPr>
                <w:rFonts w:ascii="Calibri" w:hAnsi="Calibri"/>
                <w:b w:val="0"/>
                <w:i w:val="0"/>
                <w:sz w:val="20"/>
              </w:rPr>
              <w:t>Yellow ‘Sample data preloaded’ badge still showing</w:t>
            </w:r>
          </w:p>
        </w:tc>
        <w:tc>
          <w:tcPr>
            <w:tcW w:type="dxa" w:w="2880"/>
          </w:tcPr>
          <w:p>
            <w:r/>
            <w:r>
              <w:rPr>
                <w:rFonts w:ascii="Calibri" w:hAnsi="Calibri"/>
                <w:b w:val="0"/>
                <w:i w:val="0"/>
                <w:sz w:val="20"/>
              </w:rPr>
              <w:t>At least one sample input (P1/S1/L1 codes or the seeded TSBs) hasn't been overwritten.</w:t>
            </w:r>
          </w:p>
        </w:tc>
        <w:tc>
          <w:tcPr>
            <w:tcW w:type="dxa" w:w="2880"/>
          </w:tcPr>
          <w:p>
            <w:r/>
            <w:r>
              <w:rPr>
                <w:rFonts w:ascii="Calibri" w:hAnsi="Calibri"/>
                <w:b w:val="0"/>
                <w:i w:val="0"/>
                <w:sz w:val="20"/>
              </w:rPr>
              <w:t>Overwrite every sample cell on the Inputs tab with the fund's actual figures; the badge clears automatically.</w:t>
            </w:r>
          </w:p>
        </w:tc>
      </w:tr>
      <w:tr>
        <w:tc>
          <w:tcPr>
            <w:tcW w:type="dxa" w:w="2880"/>
          </w:tcPr>
          <w:p>
            <w:r/>
            <w:r>
              <w:rPr>
                <w:rFonts w:ascii="Calibri" w:hAnsi="Calibri"/>
                <w:b w:val="0"/>
                <w:i w:val="0"/>
                <w:sz w:val="20"/>
              </w:rPr>
              <w:t>Red banner: ‘Some rows have Projected sale proceeds but no Market value at 30 Jun 2026’</w:t>
            </w:r>
          </w:p>
        </w:tc>
        <w:tc>
          <w:tcPr>
            <w:tcW w:type="dxa" w:w="2880"/>
          </w:tcPr>
          <w:p>
            <w:r/>
            <w:r>
              <w:rPr>
                <w:rFonts w:ascii="Calibri" w:hAnsi="Calibri"/>
                <w:b w:val="0"/>
                <w:i w:val="0"/>
                <w:sz w:val="20"/>
              </w:rPr>
              <w:t>Rows with col G filled and col E blank are excluded from every figure.</w:t>
            </w:r>
          </w:p>
        </w:tc>
        <w:tc>
          <w:tcPr>
            <w:tcW w:type="dxa" w:w="2880"/>
          </w:tcPr>
          <w:p>
            <w:r/>
            <w:r>
              <w:rPr>
                <w:rFonts w:ascii="Calibri" w:hAnsi="Calibri"/>
                <w:b w:val="0"/>
                <w:i w:val="0"/>
                <w:sz w:val="20"/>
              </w:rPr>
              <w:t>Either enter the 30 Jun 2026 market value (col E), or clear the Projected sale proceeds cell (col G) for that row.</w:t>
            </w:r>
          </w:p>
        </w:tc>
      </w:tr>
      <w:tr>
        <w:tc>
          <w:tcPr>
            <w:tcW w:type="dxa" w:w="2880"/>
          </w:tcPr>
          <w:p>
            <w:r/>
            <w:r>
              <w:rPr>
                <w:rFonts w:ascii="Calibri" w:hAnsi="Calibri"/>
                <w:b w:val="0"/>
                <w:i w:val="0"/>
                <w:sz w:val="20"/>
              </w:rPr>
              <w:t>Red banner: ‘Formulas detected in the asset register’</w:t>
            </w:r>
          </w:p>
        </w:tc>
        <w:tc>
          <w:tcPr>
            <w:tcW w:type="dxa" w:w="2880"/>
          </w:tcPr>
          <w:p>
            <w:r/>
            <w:r>
              <w:rPr>
                <w:rFonts w:ascii="Calibri" w:hAnsi="Calibri"/>
                <w:b w:val="0"/>
                <w:i w:val="0"/>
                <w:sz w:val="20"/>
              </w:rPr>
              <w:t>Something was pasted with a normal Ctrl+V instead of Paste-Special &gt; Values, leaving live formulas in the register cells.</w:t>
            </w:r>
          </w:p>
        </w:tc>
        <w:tc>
          <w:tcPr>
            <w:tcW w:type="dxa" w:w="2880"/>
          </w:tcPr>
          <w:p>
            <w:r/>
            <w:r>
              <w:rPr>
                <w:rFonts w:ascii="Calibri" w:hAnsi="Calibri"/>
                <w:b w:val="0"/>
                <w:i w:val="0"/>
                <w:sz w:val="20"/>
              </w:rPr>
              <w:t>Press Ctrl+Z to undo the paste, then re-paste using Paste-Special &gt; Values.</w:t>
            </w:r>
          </w:p>
        </w:tc>
      </w:tr>
      <w:tr>
        <w:tc>
          <w:tcPr>
            <w:tcW w:type="dxa" w:w="2880"/>
          </w:tcPr>
          <w:p>
            <w:r/>
            <w:r>
              <w:rPr>
                <w:rFonts w:ascii="Calibri" w:hAnsi="Calibri"/>
                <w:b w:val="0"/>
                <w:i w:val="0"/>
                <w:sz w:val="20"/>
              </w:rPr>
              <w:t>TSB diagnostic banner is deep amber (above-$10m message)</w:t>
            </w:r>
          </w:p>
        </w:tc>
        <w:tc>
          <w:tcPr>
            <w:tcW w:type="dxa" w:w="2880"/>
          </w:tcPr>
          <w:p>
            <w:r/>
            <w:r>
              <w:rPr>
                <w:rFonts w:ascii="Calibri" w:hAnsi="Calibri"/>
                <w:b w:val="0"/>
                <w:i w:val="0"/>
                <w:sz w:val="20"/>
              </w:rPr>
              <w:t>At least one member's TSB exceeds $10m, so the 25% above-$10m tier applies in addition to the 15% $3m–$10m tier.</w:t>
            </w:r>
          </w:p>
        </w:tc>
        <w:tc>
          <w:tcPr>
            <w:tcW w:type="dxa" w:w="2880"/>
          </w:tcPr>
          <w:p>
            <w:r/>
            <w:r>
              <w:rPr>
                <w:rFonts w:ascii="Calibri" w:hAnsi="Calibri"/>
                <w:b w:val="0"/>
                <w:i w:val="0"/>
                <w:sz w:val="20"/>
              </w:rPr>
              <w:t>Read the Comparison tearsheet for the modelled impact — no input change required.</w:t>
            </w:r>
          </w:p>
        </w:tc>
      </w:tr>
      <w:tr>
        <w:tc>
          <w:tcPr>
            <w:tcW w:type="dxa" w:w="2880"/>
          </w:tcPr>
          <w:p>
            <w:r/>
            <w:r>
              <w:rPr>
                <w:rFonts w:ascii="Calibri" w:hAnsi="Calibri"/>
                <w:b w:val="0"/>
                <w:i w:val="0"/>
                <w:sz w:val="20"/>
              </w:rPr>
              <w:t>Per-asset Ord CGT column doesn't sum to the Reconciliation Ord CGT</w:t>
            </w:r>
          </w:p>
        </w:tc>
        <w:tc>
          <w:tcPr>
            <w:tcW w:type="dxa" w:w="2880"/>
          </w:tcPr>
          <w:p>
            <w:r/>
            <w:r>
              <w:rPr>
                <w:rFonts w:ascii="Calibri" w:hAnsi="Calibri"/>
                <w:b w:val="0"/>
                <w:i w:val="0"/>
                <w:sz w:val="20"/>
              </w:rPr>
              <w:t>Correct behaviour. The per-asset column is diagnostic only — capital-loss netting happens at the fund level (s102-5), not per asset.</w:t>
            </w:r>
          </w:p>
        </w:tc>
        <w:tc>
          <w:tcPr>
            <w:tcW w:type="dxa" w:w="2880"/>
          </w:tcPr>
          <w:p>
            <w:r/>
            <w:r>
              <w:rPr>
                <w:rFonts w:ascii="Calibri" w:hAnsi="Calibri"/>
                <w:b w:val="0"/>
                <w:i w:val="0"/>
                <w:sz w:val="20"/>
              </w:rPr>
              <w:t>Rely on the Reconciliation panel number for the authoritative fund Ord CGT figure.</w:t>
            </w:r>
          </w:p>
        </w:tc>
      </w:tr>
    </w:tbl>
    <w:p>
      <w:pPr>
        <w:spacing w:before="280" w:after="80"/>
      </w:pPr>
      <w:r>
        <w:rPr>
          <w:rFonts w:ascii="Calibri" w:hAnsi="Calibri"/>
          <w:b/>
          <w:i w:val="0"/>
          <w:color w:val="1D3B34"/>
          <w:sz w:val="32"/>
        </w:rPr>
        <w:t>10. About this guide</w:t>
      </w:r>
    </w:p>
    <w:p>
      <w:r>
        <w:rPr>
          <w:rFonts w:ascii="Calibri" w:hAnsi="Calibri"/>
          <w:b w:val="0"/>
          <w:i w:val="0"/>
          <w:sz w:val="22"/>
        </w:rPr>
        <w:t>Document built for Division 296 Cost Base Reset Model v3.4.0 (Adviser Edition). The model itself carries a hidden provenance block on the Notes tab recording its build version, build date, and source commit. If you receive a workbook and need to verify it against this guide, unhide the rows immediately below the valuation log on Notes.</w:t>
      </w:r>
    </w:p>
    <w:p>
      <w:pPr>
        <w:spacing w:before="160" w:after="160"/>
      </w:pPr>
      <w:r>
        <w:rPr>
          <w:rFonts w:ascii="Calibri" w:hAnsi="Calibri"/>
          <w:b/>
          <w:i w:val="0"/>
          <w:color w:val="8A6D00"/>
          <w:sz w:val="22"/>
        </w:rPr>
        <w:t xml:space="preserve">Reminder.  </w:t>
      </w:r>
      <w:r>
        <w:rPr>
          <w:rFonts w:ascii="Calibri" w:hAnsi="Calibri"/>
          <w:b w:val="0"/>
          <w:i w:val="0"/>
          <w:color w:val="8A6D00"/>
          <w:sz w:val="22"/>
        </w:rPr>
        <w:t>Illustrative only — not financial, tax or legal advice. Confirm against the final ATO method, regulations, and a registered tax agent or licensed adviser before relying on any figure.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