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D3B34"/>
          <w:sz w:val="40"/>
        </w:rPr>
        <w:t>Division 296 Cost Base Reset Model</w:t>
      </w:r>
    </w:p>
    <w:p>
      <w:pPr>
        <w:spacing w:before="0" w:after="80"/>
      </w:pPr>
      <w:r>
        <w:rPr>
          <w:rFonts w:ascii="Calibri" w:hAnsi="Calibri"/>
          <w:b w:val="0"/>
          <w:i/>
          <w:color w:val="555555"/>
          <w:sz w:val="21"/>
        </w:rPr>
        <w:t>Adviser Edition · v3.4.0 · Quick Start</w:t>
      </w:r>
    </w:p>
    <w:p>
      <w:pPr>
        <w:spacing w:before="40" w:after="120" w:line="276" w:lineRule="auto"/>
      </w:pPr>
      <w:r>
        <w:rPr>
          <w:rFonts w:ascii="Calibri" w:hAnsi="Calibri"/>
          <w:b/>
          <w:i w:val="0"/>
          <w:color w:val="1D3B34"/>
          <w:sz w:val="23"/>
        </w:rPr>
        <w:t>Model the impact of the Division 296 cost-base reset election on an SMSF in five minutes. One inputs tab, two scenarios side by side, one printable client tearsheet.</w:t>
      </w:r>
    </w:p>
    <w:p>
      <w:pPr>
        <w:spacing w:before="40" w:after="80"/>
        <w:ind w:left="170"/>
      </w:pPr>
      <w:r>
        <w:rPr>
          <w:rFonts w:ascii="Calibri" w:hAnsi="Calibri"/>
          <w:b w:val="0"/>
          <w:i/>
          <w:color w:val="8A6D00"/>
          <w:sz w:val="20"/>
        </w:rPr>
        <w:t>⚠ Sample data is preloaded. Overwrite every yellow cell with the fund's actual figures before sharing with a client.</w:t>
      </w:r>
    </w:p>
    <w:p>
      <w:pPr>
        <w:spacing w:before="200" w:after="40"/>
      </w:pPr>
      <w:r>
        <w:rPr>
          <w:rFonts w:ascii="Calibri" w:hAnsi="Calibri"/>
          <w:b/>
          <w:i w:val="0"/>
          <w:color w:val="1D3B34"/>
          <w:sz w:val="26"/>
        </w:rPr>
        <w:t>Three steps to a result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sz w:val="21"/>
        </w:rPr>
        <w:t>Inputs → Members (rows 7–10).</w:t>
      </w:r>
      <w:r>
        <w:rPr>
          <w:rFonts w:ascii="Calibri" w:hAnsi="Calibri"/>
          <w:b w:val="0"/>
          <w:i w:val="0"/>
          <w:sz w:val="21"/>
        </w:rPr>
        <w:t xml:space="preserve"> — Type each member's TSB into column B. Split %, $3m–$10m band, and above-$10m band derive automatically.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sz w:val="21"/>
        </w:rPr>
        <w:t>Inputs → Asset register (rows 16–65).</w:t>
      </w:r>
      <w:r>
        <w:rPr>
          <w:rFonts w:ascii="Calibri" w:hAnsi="Calibri"/>
          <w:b w:val="0"/>
          <w:i w:val="0"/>
          <w:sz w:val="21"/>
        </w:rPr>
        <w:t xml:space="preserve"> — For each CGT asset held at 30 June 2026: original cost base (C), market value at 30 Jun 2026 (E), projected sale proceeds (G), held &gt; 12 months (I). Column H (Projected gain/loss) is locked — it's a formula.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sz w:val="21"/>
        </w:rPr>
        <w:t>Comparison tab.</w:t>
      </w:r>
      <w:r>
        <w:rPr>
          <w:rFonts w:ascii="Calibri" w:hAnsi="Calibri"/>
          <w:b w:val="0"/>
          <w:i w:val="0"/>
          <w:sz w:val="21"/>
        </w:rPr>
        <w:t xml:space="preserve"> — Read the three headline cards: If no reset · If elected · Net effect. Negative net effect (green) = the reset saves Division 296 tax.</w:t>
      </w:r>
    </w:p>
    <w:p>
      <w:pPr>
        <w:spacing w:before="200" w:after="40"/>
      </w:pPr>
      <w:r>
        <w:rPr>
          <w:rFonts w:ascii="Calibri" w:hAnsi="Calibri"/>
          <w:b/>
          <w:i w:val="0"/>
          <w:color w:val="1D3B34"/>
          <w:sz w:val="26"/>
        </w:rPr>
        <w:t>The four tabs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</w:rPr>
        <w:t>Inputs</w:t>
      </w:r>
      <w:r>
        <w:rPr>
          <w:rFonts w:ascii="Calibri" w:hAnsi="Calibri"/>
          <w:b w:val="0"/>
          <w:i w:val="0"/>
          <w:sz w:val="21"/>
        </w:rPr>
        <w:t xml:space="preserve"> — the only tab you edit.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</w:rPr>
        <w:t>Analyser</w:t>
      </w:r>
      <w:r>
        <w:rPr>
          <w:rFonts w:ascii="Calibri" w:hAnsi="Calibri"/>
          <w:b w:val="0"/>
          <w:i w:val="0"/>
          <w:sz w:val="21"/>
        </w:rPr>
        <w:t xml:space="preserve"> — fund summary, per-member tax, per-asset detail, reconciliation. Read-only.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</w:rPr>
        <w:t>Comparison</w:t>
      </w:r>
      <w:r>
        <w:rPr>
          <w:rFonts w:ascii="Calibri" w:hAnsi="Calibri"/>
          <w:b w:val="0"/>
          <w:i w:val="0"/>
          <w:sz w:val="21"/>
        </w:rPr>
        <w:t xml:space="preserve"> — print-ready one-page tearsheet for the client meeting.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</w:rPr>
        <w:t>Notes</w:t>
      </w:r>
      <w:r>
        <w:rPr>
          <w:rFonts w:ascii="Calibri" w:hAnsi="Calibri"/>
          <w:b w:val="0"/>
          <w:i w:val="0"/>
          <w:sz w:val="21"/>
        </w:rPr>
        <w:t xml:space="preserve"> — terminology, full caveats, valuation log. Royal Assent date cell is editable.</w:t>
      </w:r>
    </w:p>
    <w:p>
      <w:pPr>
        <w:spacing w:before="200" w:after="40"/>
      </w:pPr>
      <w:r>
        <w:rPr>
          <w:rFonts w:ascii="Calibri" w:hAnsi="Calibri"/>
          <w:b/>
          <w:i w:val="0"/>
          <w:color w:val="1D3B34"/>
          <w:sz w:val="26"/>
        </w:rPr>
        <w:t>Where the answer lives</w:t>
      </w:r>
    </w:p>
    <w:p>
      <w:pPr>
        <w:spacing w:before="0" w:after="60" w:line="276" w:lineRule="auto"/>
      </w:pPr>
      <w:r>
        <w:rPr>
          <w:rFonts w:ascii="Calibri" w:hAnsi="Calibri"/>
          <w:b w:val="0"/>
          <w:i w:val="0"/>
          <w:sz w:val="21"/>
        </w:rPr>
        <w:t>Comparison tab → Headline cards (top of the tearsheet). Three numbers: total Div 296 tax under each scenario plus the signed net effect.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</w:rPr>
        <w:t>Negative net effect</w:t>
      </w:r>
      <w:r>
        <w:rPr>
          <w:rFonts w:ascii="Calibri" w:hAnsi="Calibri"/>
          <w:b w:val="0"/>
          <w:i w:val="0"/>
          <w:sz w:val="21"/>
        </w:rPr>
        <w:t xml:space="preserve"> — reset reduces Division 296 tax — typically on assets sitting at an unrealised gain at 30 June 2026.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</w:rPr>
        <w:t>Positive net effect</w:t>
      </w:r>
      <w:r>
        <w:rPr>
          <w:rFonts w:ascii="Calibri" w:hAnsi="Calibri"/>
          <w:b w:val="0"/>
          <w:i w:val="0"/>
          <w:sz w:val="21"/>
        </w:rPr>
        <w:t xml:space="preserve"> — reset increases Division 296 tax — the ‘reset trap’ on assets at an unrealised loss. Read these per-asset in the Analyser tab, column L.</w:t>
      </w:r>
    </w:p>
    <w:p>
      <w:pPr>
        <w:spacing w:before="200" w:after="40"/>
      </w:pPr>
      <w:r>
        <w:rPr>
          <w:rFonts w:ascii="Calibri" w:hAnsi="Calibri"/>
          <w:b/>
          <w:i w:val="0"/>
          <w:color w:val="1D3B34"/>
          <w:sz w:val="26"/>
        </w:rPr>
        <w:t>Two safety banners to watch on Inputs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</w:rPr>
        <w:t>Red — formulas in the register.</w:t>
      </w:r>
      <w:r>
        <w:rPr>
          <w:rFonts w:ascii="Calibri" w:hAnsi="Calibri"/>
          <w:b w:val="0"/>
          <w:i w:val="0"/>
          <w:sz w:val="21"/>
        </w:rPr>
        <w:t xml:space="preserve"> — You used Ctrl+V instead of Paste-Special &gt; Values. Press Ctrl+Z, re-paste as values.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</w:rPr>
        <w:t>Red — proceeds without 30 Jun 2026 value.</w:t>
      </w:r>
      <w:r>
        <w:rPr>
          <w:rFonts w:ascii="Calibri" w:hAnsi="Calibri"/>
          <w:b w:val="0"/>
          <w:i w:val="0"/>
          <w:sz w:val="21"/>
        </w:rPr>
        <w:t xml:space="preserve"> — Any row with column G filled but column E blank is silently excluded from every figure. Fill column E, or clear column G.</w:t>
      </w:r>
    </w:p>
    <w:p>
      <w:pPr>
        <w:spacing w:before="40" w:after="80"/>
        <w:ind w:left="170"/>
      </w:pPr>
      <w:r>
        <w:rPr>
          <w:rFonts w:ascii="Calibri" w:hAnsi="Calibri"/>
          <w:b w:val="0"/>
          <w:i/>
          <w:color w:val="A61B1B"/>
          <w:sz w:val="20"/>
        </w:rPr>
        <w:t>Illustrative only — not financial, tax or legal advice. Confirm every figure against the final ATO method and the fund's tax position before relying on it.</w:t>
      </w:r>
    </w:p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color w:val="1D3B34"/>
          <w:sz w:val="40"/>
        </w:rPr>
        <w:t>Detail &amp; Reference</w:t>
      </w:r>
    </w:p>
    <w:p>
      <w:pPr>
        <w:spacing w:before="0" w:after="80"/>
      </w:pPr>
      <w:r>
        <w:rPr>
          <w:rFonts w:ascii="Calibri" w:hAnsi="Calibri"/>
          <w:b w:val="0"/>
          <w:i/>
          <w:color w:val="555555"/>
          <w:sz w:val="21"/>
        </w:rPr>
        <w:t>Read this if you want more than the quick-start — column-level Inputs reference, how the Analyser is structured, the caveats that shape every number, and a troubleshooting table.</w:t>
      </w:r>
    </w:p>
    <w:p>
      <w:pPr>
        <w:spacing w:before="200" w:after="40"/>
      </w:pPr>
      <w:r>
        <w:rPr>
          <w:rFonts w:ascii="Calibri" w:hAnsi="Calibri"/>
          <w:b/>
          <w:i w:val="0"/>
          <w:color w:val="1D3B34"/>
          <w:sz w:val="26"/>
        </w:rPr>
        <w:t>1. What the model does</w:t>
      </w:r>
    </w:p>
    <w:p>
      <w:pPr>
        <w:spacing w:before="0" w:after="60" w:line="276" w:lineRule="auto"/>
      </w:pPr>
      <w:r>
        <w:rPr>
          <w:rFonts w:ascii="Calibri" w:hAnsi="Calibri"/>
          <w:b w:val="0"/>
          <w:i w:val="0"/>
          <w:sz w:val="21"/>
        </w:rPr>
        <w:t>The workbook compares two mutually exclusive scenarios at the 30 June 2026 reset election date: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1"/>
        </w:rPr>
        <w:t>If no reset (default)</w:t>
      </w:r>
      <w:r>
        <w:rPr>
          <w:rFonts w:ascii="Calibri" w:hAnsi="Calibri"/>
          <w:b w:val="0"/>
          <w:i w:val="0"/>
          <w:sz w:val="21"/>
        </w:rPr>
        <w:t xml:space="preserve"> — every CGT asset keeps its original cost base for both ordinary CGT and Division 296 calculations.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1"/>
        </w:rPr>
        <w:t>If elected to reset</w:t>
      </w:r>
      <w:r>
        <w:rPr>
          <w:rFonts w:ascii="Calibri" w:hAnsi="Calibri"/>
          <w:b w:val="0"/>
          <w:i w:val="0"/>
          <w:sz w:val="21"/>
        </w:rPr>
        <w:t xml:space="preserve"> — every CGT asset's Division 296 cost base is stepped to its market value at 30 June 2026. Ordinary CGT cost base is unaffected.</w:t>
      </w:r>
    </w:p>
    <w:p>
      <w:pPr>
        <w:spacing w:before="0" w:after="60" w:line="276" w:lineRule="auto"/>
      </w:pPr>
      <w:r>
        <w:rPr>
          <w:rFonts w:ascii="Calibri" w:hAnsi="Calibri"/>
          <w:b w:val="0"/>
          <w:i w:val="0"/>
          <w:sz w:val="21"/>
        </w:rPr>
        <w:t>The election is one-off, all-or-nothing, and irrevocable — it applies to every CGT asset held by the fund at 30 June 2026, or none of them. The model never recommends an outcome; it presents the signed difference and lets the adviser make the call.</w:t>
      </w:r>
    </w:p>
    <w:p>
      <w:pPr>
        <w:spacing w:before="200" w:after="40"/>
      </w:pPr>
      <w:r>
        <w:rPr>
          <w:rFonts w:ascii="Calibri" w:hAnsi="Calibri"/>
          <w:b/>
          <w:i w:val="0"/>
          <w:color w:val="1D3B34"/>
          <w:sz w:val="26"/>
        </w:rPr>
        <w:t>2. Inputs reference</w:t>
      </w:r>
    </w:p>
    <w:p>
      <w:pPr>
        <w:spacing w:before="120" w:after="20"/>
      </w:pPr>
      <w:r>
        <w:rPr>
          <w:rFonts w:ascii="Calibri" w:hAnsi="Calibri"/>
          <w:b/>
          <w:i w:val="0"/>
          <w:color w:val="3F4F4A"/>
          <w:sz w:val="22"/>
        </w:rPr>
        <w:t>Section 1 — Members (rows 6–12)</w:t>
      </w:r>
    </w:p>
    <w:p>
      <w:pPr>
        <w:spacing w:before="0" w:after="60" w:line="276" w:lineRule="auto"/>
      </w:pPr>
      <w:r>
        <w:rPr>
          <w:rFonts w:ascii="Calibri" w:hAnsi="Calibri"/>
          <w:b w:val="0"/>
          <w:i w:val="0"/>
          <w:sz w:val="21"/>
        </w:rPr>
        <w:t>Up to four members. Edit columns A (label, free text) and B (TSB, dollars). The three derived columns are read-only: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</w:rPr>
        <w:t>Split %</w:t>
      </w:r>
      <w:r>
        <w:rPr>
          <w:rFonts w:ascii="Calibri" w:hAnsi="Calibri"/>
          <w:b w:val="0"/>
          <w:i w:val="0"/>
          <w:sz w:val="21"/>
        </w:rPr>
        <w:t xml:space="preserve"> — TSB ÷ total fund TSB.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</w:rPr>
        <w:t>Band 1 (3m–10m)</w:t>
      </w:r>
      <w:r>
        <w:rPr>
          <w:rFonts w:ascii="Calibri" w:hAnsi="Calibri"/>
          <w:b w:val="0"/>
          <w:i w:val="0"/>
          <w:sz w:val="21"/>
        </w:rPr>
        <w:t xml:space="preserve"> — MAX(0, MIN(TSB, $10m) − $3m) ÷ TSB. Taxed at 15%.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</w:rPr>
        <w:t>Band 2 (&gt; 10m)</w:t>
      </w:r>
      <w:r>
        <w:rPr>
          <w:rFonts w:ascii="Calibri" w:hAnsi="Calibri"/>
          <w:b w:val="0"/>
          <w:i w:val="0"/>
          <w:sz w:val="21"/>
        </w:rPr>
        <w:t xml:space="preserve"> — MAX(0, TSB − $10m) ÷ TSB. Taxed at 25%.</w:t>
      </w:r>
    </w:p>
    <w:p>
      <w:pPr>
        <w:spacing w:before="0" w:after="60" w:line="276" w:lineRule="auto"/>
      </w:pPr>
      <w:r>
        <w:rPr>
          <w:rFonts w:ascii="Calibri" w:hAnsi="Calibri"/>
          <w:b w:val="0"/>
          <w:i w:val="0"/>
          <w:sz w:val="21"/>
        </w:rPr>
        <w:t>Traffic-light banner above the Members table reads green (no Div 296), amber ($3m–$10m), or deep amber (above $10m). Use it as the applicability check before reading any other number.</w:t>
      </w:r>
    </w:p>
    <w:p>
      <w:pPr>
        <w:spacing w:before="120" w:after="20"/>
      </w:pPr>
      <w:r>
        <w:rPr>
          <w:rFonts w:ascii="Calibri" w:hAnsi="Calibri"/>
          <w:b/>
          <w:i w:val="0"/>
          <w:color w:val="3F4F4A"/>
          <w:sz w:val="22"/>
        </w:rPr>
        <w:t>Section 2 — Asset register (rows 15–65, 50 rows)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Col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Header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Notes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Asset code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Short identifier. Free text.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Asset name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Plain description (e.g. ‘Commercial property’).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Original cost base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Pre-reset cost base — used for ordinary CGT regardless of the reset election.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Current market value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Context only; not used in tax calcs. Useful sanity-check for reviewers.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Market value at 30 Jun 2026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Load-bearing. Becomes the Div 296 cost base under the reset scenario. Garbage in, garbage out.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Valuation source / date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Free text. Mirrored verbatim into the Notes valuation log for audit trail.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Projected sale proceeds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Expected cash on disposal. Blank = row excluded from totals (and the amber tripwire fires).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Projected gain/loss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Locked formula = proceeds − original cost base. Do not edit.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Held &gt; 12 months?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Yes / No dropdown. Drives the 1/3 CGT discount under s115-100 ITAA 1997.</w:t>
            </w:r>
          </w:p>
        </w:tc>
      </w:tr>
    </w:tbl>
    <w:p>
      <w:pPr>
        <w:spacing w:before="120" w:after="20"/>
      </w:pPr>
      <w:r>
        <w:rPr>
          <w:rFonts w:ascii="Calibri" w:hAnsi="Calibri"/>
          <w:b/>
          <w:i w:val="0"/>
          <w:color w:val="3F4F4A"/>
          <w:sz w:val="22"/>
        </w:rPr>
        <w:t>Section 3 — Advanced assumptions (rows 67–75)</w:t>
      </w:r>
    </w:p>
    <w:p>
      <w:pPr>
        <w:spacing w:before="0" w:after="60" w:line="276" w:lineRule="auto"/>
      </w:pPr>
      <w:r>
        <w:rPr>
          <w:rFonts w:ascii="Calibri" w:hAnsi="Calibri"/>
          <w:b w:val="0"/>
          <w:i w:val="0"/>
          <w:sz w:val="21"/>
        </w:rPr>
        <w:t>Eight named-range cells that feed every downstream formula. Touch only if the ATO publishes a change. Defaults match the enacted law at the build date: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rate_tier1 = 15% (slice $3m–$10m).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rate_tier2 = 25% (slice above $10m).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threshold_1 = $3,000,000 · threshold_2 = $10,000,000.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discount_rate = 1/3 (s115-100 ITAA 1997).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fund_cgt_rate = 15% (accumulation phase).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indexation_increment_1 / _2 (forward-modelling only — not applied to Year 1).</w:t>
      </w:r>
    </w:p>
    <w:p>
      <w:pPr>
        <w:spacing w:before="200" w:after="40"/>
      </w:pPr>
      <w:r>
        <w:rPr>
          <w:rFonts w:ascii="Calibri" w:hAnsi="Calibri"/>
          <w:b/>
          <w:i w:val="0"/>
          <w:color w:val="1D3B34"/>
          <w:sz w:val="26"/>
        </w:rPr>
        <w:t>3. Reading the Analyser</w:t>
      </w:r>
    </w:p>
    <w:p>
      <w:pPr>
        <w:spacing w:before="120" w:after="20"/>
      </w:pPr>
      <w:r>
        <w:rPr>
          <w:rFonts w:ascii="Calibri" w:hAnsi="Calibri"/>
          <w:b/>
          <w:i w:val="0"/>
          <w:color w:val="3F4F4A"/>
          <w:sz w:val="22"/>
        </w:rPr>
        <w:t>Fund summary (rows 6–13)</w:t>
      </w:r>
    </w:p>
    <w:p>
      <w:pPr>
        <w:spacing w:before="0" w:after="60" w:line="276" w:lineRule="auto"/>
      </w:pPr>
      <w:r>
        <w:rPr>
          <w:rFonts w:ascii="Calibri" w:hAnsi="Calibri"/>
          <w:b w:val="0"/>
          <w:i w:val="0"/>
          <w:sz w:val="21"/>
        </w:rPr>
        <w:t>Side by side: If no reset · If elected · Difference. Bottom row (‘Total Div 296 tax’) is the headline. The Difference column is signed; negative (green) = reset saves tax, positive (red) = reset costs more tax.</w:t>
      </w:r>
    </w:p>
    <w:p>
      <w:pPr>
        <w:spacing w:before="120" w:after="20"/>
      </w:pPr>
      <w:r>
        <w:rPr>
          <w:rFonts w:ascii="Calibri" w:hAnsi="Calibri"/>
          <w:b/>
          <w:i w:val="0"/>
          <w:color w:val="3F4F4A"/>
          <w:sz w:val="22"/>
        </w:rPr>
        <w:t>Per-asset analysis (rows 15–67)</w:t>
      </w:r>
    </w:p>
    <w:p>
      <w:pPr>
        <w:spacing w:before="0" w:after="60" w:line="276" w:lineRule="auto"/>
      </w:pPr>
      <w:r>
        <w:rPr>
          <w:rFonts w:ascii="Calibri" w:hAnsi="Calibri"/>
          <w:b w:val="0"/>
          <w:i w:val="0"/>
          <w:sz w:val="21"/>
        </w:rPr>
        <w:t>Always reflects the elected-reset scenario. Most-read columns: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</w:rPr>
        <w:t>K — Div 296 tax</w:t>
      </w:r>
      <w:r>
        <w:rPr>
          <w:rFonts w:ascii="Calibri" w:hAnsi="Calibri"/>
          <w:b w:val="0"/>
          <w:i w:val="0"/>
          <w:sz w:val="21"/>
        </w:rPr>
        <w:t xml:space="preserve"> — Authoritative per-asset Div 296 tax (pro-rata of the elected-reset headline).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</w:rPr>
        <w:t>L — Reset impact</w:t>
      </w:r>
      <w:r>
        <w:rPr>
          <w:rFonts w:ascii="Calibri" w:hAnsi="Calibri"/>
          <w:b w:val="0"/>
          <w:i w:val="0"/>
          <w:sz w:val="21"/>
        </w:rPr>
        <w:t xml:space="preserve"> — Signed delta. Negative = reset reduces this asset's Div 296 burden. Positive = reset-trap candidate.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</w:rPr>
        <w:t>E, G — Ord gross gain / Ord CGT (info only)</w:t>
      </w:r>
      <w:r>
        <w:rPr>
          <w:rFonts w:ascii="Calibri" w:hAnsi="Calibri"/>
          <w:b w:val="0"/>
          <w:i w:val="0"/>
          <w:sz w:val="21"/>
        </w:rPr>
        <w:t xml:space="preserve"> — Greyed. Do NOT sum to the fund Ord CGT because s102-5 capital-loss netting happens at the fund level, not per asset. Read the Reconciliation panel for the authoritative number.</w:t>
      </w:r>
    </w:p>
    <w:p>
      <w:pPr>
        <w:spacing w:before="120" w:after="20"/>
      </w:pPr>
      <w:r>
        <w:rPr>
          <w:rFonts w:ascii="Calibri" w:hAnsi="Calibri"/>
          <w:b/>
          <w:i w:val="0"/>
          <w:color w:val="3F4F4A"/>
          <w:sz w:val="22"/>
        </w:rPr>
        <w:t>Reconciliation (rows 70–74)</w:t>
      </w:r>
    </w:p>
    <w:p>
      <w:pPr>
        <w:spacing w:before="0" w:after="60" w:line="276" w:lineRule="auto"/>
      </w:pPr>
      <w:r>
        <w:rPr>
          <w:rFonts w:ascii="Calibri" w:hAnsi="Calibri"/>
          <w:b w:val="0"/>
          <w:i w:val="0"/>
          <w:sz w:val="21"/>
        </w:rPr>
        <w:t>Authoritative fund-level totals: ordinary CGT after intra-year capital-loss netting (s102-5 method, then s115-100 1/3 discount on the discountable residue), Division 296 tax payable, and any current-year net unused capital loss carried forward.</w:t>
      </w:r>
    </w:p>
    <w:p>
      <w:pPr>
        <w:spacing w:before="200" w:after="40"/>
      </w:pPr>
      <w:r>
        <w:rPr>
          <w:rFonts w:ascii="Calibri" w:hAnsi="Calibri"/>
          <w:b/>
          <w:i w:val="0"/>
          <w:color w:val="1D3B34"/>
          <w:sz w:val="26"/>
        </w:rPr>
        <w:t>4. Comparison tab — the client tearsheet</w:t>
      </w:r>
    </w:p>
    <w:p>
      <w:pPr>
        <w:spacing w:before="0" w:after="60" w:line="276" w:lineRule="auto"/>
      </w:pPr>
      <w:r>
        <w:rPr>
          <w:rFonts w:ascii="Calibri" w:hAnsi="Calibri"/>
          <w:b w:val="0"/>
          <w:i w:val="0"/>
          <w:sz w:val="21"/>
        </w:rPr>
        <w:t>Print-ready landscape A4. Suitable as a client meeting handout or file note without editing. Order top to bottom: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Header strip — fund, prepared by, date, version.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Members &amp; TSB strip.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Headline cards — Div 296 tax under each scenario plus signed net effect.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Per-scenario subtotals — Earnings, Ord CGT (unchanged), Div 296 tax, Total burden.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Per-member breakdown — TSB and Div 296 tax for both scenarios.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Per-asset detail — top 10 by |Δ Div 296 tax|. Overflow note points at the Analyser for the full register.</w:t>
      </w:r>
    </w:p>
    <w:p>
      <w:pPr>
        <w:spacing w:before="200" w:after="40"/>
      </w:pPr>
      <w:r>
        <w:rPr>
          <w:rFonts w:ascii="Calibri" w:hAnsi="Calibri"/>
          <w:b/>
          <w:i w:val="0"/>
          <w:color w:val="1D3B34"/>
          <w:sz w:val="26"/>
        </w:rPr>
        <w:t>5. Caveats that shape every number</w:t>
      </w:r>
    </w:p>
    <w:p>
      <w:pPr>
        <w:spacing w:before="0" w:after="60" w:line="276" w:lineRule="auto"/>
      </w:pPr>
      <w:r>
        <w:rPr>
          <w:rFonts w:ascii="Calibri" w:hAnsi="Calibri"/>
          <w:b w:val="0"/>
          <w:i w:val="0"/>
          <w:sz w:val="21"/>
        </w:rPr>
        <w:t>Hold these in mind whenever you read a figure. They are material and several work in opposing directions.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1"/>
        </w:rPr>
        <w:t>Prior-year carry-forward capital losses are NOT modelled.</w:t>
      </w:r>
      <w:r>
        <w:rPr>
          <w:rFonts w:ascii="Calibri" w:hAnsi="Calibri"/>
          <w:b w:val="0"/>
          <w:i w:val="0"/>
          <w:sz w:val="21"/>
        </w:rPr>
        <w:t xml:space="preserve"> — The workbook nets gains and losses within the current income year (s102-5) but takes no brought-forward balance as input. Apply any prior-year carry-forward outside the model before relying on the ordinary CGT figure.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1"/>
        </w:rPr>
        <w:t>Pension phase is NOT modelled.</w:t>
      </w:r>
      <w:r>
        <w:rPr>
          <w:rFonts w:ascii="Calibri" w:hAnsi="Calibri"/>
          <w:b w:val="0"/>
          <w:i w:val="0"/>
          <w:sz w:val="21"/>
        </w:rPr>
        <w:t xml:space="preserve"> — The model assumes 100% accumulation phase (fund earnings tax = 15%). For funds with pension members it overstates ordinary CGT and the reset's relative attractiveness.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1"/>
        </w:rPr>
        <w:t>Reset-OFF scenario is realised-only.</w:t>
      </w:r>
      <w:r>
        <w:rPr>
          <w:rFonts w:ascii="Calibri" w:hAnsi="Calibri"/>
          <w:b w:val="0"/>
          <w:i w:val="0"/>
          <w:sz w:val="21"/>
        </w:rPr>
        <w:t xml:space="preserve"> — Under enacted Division 296, fund earnings without the reset are assessed on year-on-year TSB movement (realised + unrealised). The Comparison tab compares realised vs realised, so it understates the no-reset Division 296 burden.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1"/>
        </w:rPr>
        <w:t>Multi-member splits are TSB-proportional.</w:t>
      </w:r>
      <w:r>
        <w:rPr>
          <w:rFonts w:ascii="Calibri" w:hAnsi="Calibri"/>
          <w:b w:val="0"/>
          <w:i w:val="0"/>
          <w:sz w:val="21"/>
        </w:rPr>
        <w:t xml:space="preserve"> — A real fund determines each member's share via an actuarial certificate on time-weighted average balances. The model approximates with current-TSB share.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1"/>
        </w:rPr>
        <w:t>Wash sale / Part IVA risk.</w:t>
      </w:r>
      <w:r>
        <w:rPr>
          <w:rFonts w:ascii="Calibri" w:hAnsi="Calibri"/>
          <w:b w:val="0"/>
          <w:i w:val="0"/>
          <w:sz w:val="21"/>
        </w:rPr>
        <w:t xml:space="preserve"> — Pre-30 June 2026 disposals undertaken purely for the tax outcome sit in anti-avoidance territory (TR 2008/1, Part IVA). Document the commercial rationale separately.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1"/>
        </w:rPr>
        <w:t>Transaction costs not modelled.</w:t>
      </w:r>
      <w:r>
        <w:rPr>
          <w:rFonts w:ascii="Calibri" w:hAnsi="Calibri"/>
          <w:b w:val="0"/>
          <w:i w:val="0"/>
          <w:sz w:val="21"/>
        </w:rPr>
        <w:t xml:space="preserve"> — Brokerage, stamp duty (for property), liquidity drag, and market-timing risk are excluded.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1"/>
        </w:rPr>
        <w:t>Alternative levers not modelled.</w:t>
      </w:r>
      <w:r>
        <w:rPr>
          <w:rFonts w:ascii="Calibri" w:hAnsi="Calibri"/>
          <w:b w:val="0"/>
          <w:i w:val="0"/>
          <w:sz w:val="21"/>
        </w:rPr>
        <w:t xml:space="preserve"> — TSB recontribution / withdrawal splits, pension commencement, and estate-timing considerations can materially change the optimal outcome. None are reflected.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1"/>
        </w:rPr>
        <w:t>Sheet protection is tamper-evident, not tamper-proof.</w:t>
      </w:r>
      <w:r>
        <w:rPr>
          <w:rFonts w:ascii="Calibri" w:hAnsi="Calibri"/>
          <w:b w:val="0"/>
          <w:i w:val="0"/>
          <w:sz w:val="21"/>
        </w:rPr>
        <w:t xml:space="preserve"> — Protection (where applied) is passwordless. It prevents accidental overwrites; it does not enforce immutability.</w:t>
      </w:r>
    </w:p>
    <w:p>
      <w:pPr>
        <w:spacing w:before="200" w:after="40"/>
      </w:pPr>
      <w:r>
        <w:rPr>
          <w:rFonts w:ascii="Calibri" w:hAnsi="Calibri"/>
          <w:b/>
          <w:i w:val="0"/>
          <w:color w:val="1D3B34"/>
          <w:sz w:val="26"/>
        </w:rPr>
        <w:t>6. Troubleshooting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You see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What it means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/>
                <w:i w:val="0"/>
                <w:sz w:val="19"/>
              </w:rPr>
              <w:t>Do this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Yellow ‘Sample data preloaded’ badge persists.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At least one sample input (P1/S1/L1 codes or the seeded member TSBs) still present.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Overwrite every sample cell on Inputs; the badge clears automatically.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Red banner: ‘Some rows have Projected sale proceeds but no Market value at 30 Jun 2026’.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Those rows are excluded from every figure.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Fill column E for the row, or clear column G.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Red banner: ‘Formulas detected in the asset register’.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 non-values paste left live formulas in the register cells.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Press Ctrl+Z to undo, then Paste-Special &gt; Values.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TSB diagnostic banner is deep amber.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At least one member's TSB exceeds $10m — the 25% above-$10m tier applies in addition to the 15% $3m–$10m tier.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Read the Comparison tearsheet for the modelled impact — no input change needed.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Per-asset Ord CGT (col G) doesn't sum to Reconciliation Ord CGT.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Correct behaviour. Capital-loss netting happens at the fund level (s102-5), not per asset.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Rely on the Reconciliation panel for the authoritative figure.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i w:val="0"/>
          <w:color w:val="1D3B34"/>
          <w:sz w:val="26"/>
        </w:rPr>
        <w:t>7. About this guide</w:t>
      </w:r>
    </w:p>
    <w:p>
      <w:pPr>
        <w:spacing w:before="0" w:after="60" w:line="276" w:lineRule="auto"/>
      </w:pPr>
      <w:r>
        <w:rPr>
          <w:rFonts w:ascii="Calibri" w:hAnsi="Calibri"/>
          <w:b w:val="0"/>
          <w:i w:val="0"/>
          <w:sz w:val="21"/>
        </w:rPr>
        <w:t>Built for Division 296 Cost Base Reset Model v3.4.0 (Adviser Edition). The workbook carries a hidden provenance block on the Notes tab (build version, build date, source commit). Unhide the rows immediately below the valuation log on Notes to verify a received file against this guide.</w:t>
      </w:r>
    </w:p>
    <w:p>
      <w:pPr>
        <w:spacing w:before="40" w:after="80"/>
        <w:ind w:left="170"/>
      </w:pPr>
      <w:r>
        <w:rPr>
          <w:rFonts w:ascii="Calibri" w:hAnsi="Calibri"/>
          <w:b w:val="0"/>
          <w:i/>
          <w:color w:val="A61B1B"/>
          <w:sz w:val="20"/>
        </w:rPr>
        <w:t>Illustrative only — not financial, tax or legal advice. Confirm every figure against the final ATO method and the fund's tax position before relying on it.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