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560"/>
      </w:pPr>
    </w:p>
    <w:p>
      <w:pPr>
        <w:spacing w:before="0" w:after="120"/>
      </w:pPr>
      <w:r>
        <w:rPr>
          <w:rFonts w:ascii="Calibri" w:hAnsi="Calibri"/>
          <w:b/>
          <w:i w:val="0"/>
          <w:color w:val="1D3B34"/>
          <w:sz w:val="60"/>
          <w:u w:val="none"/>
        </w:rPr>
        <w:t>Division 296</w:t>
      </w:r>
    </w:p>
    <w:p>
      <w:pPr>
        <w:spacing w:before="0" w:after="280"/>
      </w:pPr>
      <w:r>
        <w:rPr>
          <w:rFonts w:ascii="Calibri" w:hAnsi="Calibri"/>
          <w:b/>
          <w:i w:val="0"/>
          <w:color w:val="1D3B34"/>
          <w:sz w:val="52"/>
          <w:u w:val="none"/>
        </w:rPr>
        <w:t>Cost Base Reset Model</w:t>
      </w:r>
    </w:p>
    <w:p>
      <w:pPr>
        <w:spacing w:before="0" w:after="360"/>
      </w:pPr>
      <w:r>
        <w:rPr>
          <w:rFonts w:ascii="Calibri" w:hAnsi="Calibri"/>
          <w:b/>
          <w:i w:val="0"/>
          <w:color w:val="3F4F4A"/>
          <w:sz w:val="28"/>
          <w:u w:val="none"/>
        </w:rPr>
        <w:t>Adviser Edition</w:t>
      </w:r>
      <w:r>
        <w:rPr>
          <w:rFonts w:ascii="Calibri" w:hAnsi="Calibri"/>
          <w:b w:val="0"/>
          <w:i w:val="0"/>
          <w:color w:val="555555"/>
          <w:sz w:val="28"/>
          <w:u w:val="none"/>
        </w:rPr>
        <w:t xml:space="preserve">   ·   </w:t>
      </w:r>
      <w:r>
        <w:rPr>
          <w:rFonts w:ascii="Calibri" w:hAnsi="Calibri"/>
          <w:b w:val="0"/>
          <w:i w:val="0"/>
          <w:color w:val="555555"/>
          <w:sz w:val="28"/>
          <w:u w:val="none"/>
        </w:rPr>
        <w:t>v3.4.0</w:t>
      </w:r>
      <w:r>
        <w:rPr>
          <w:rFonts w:ascii="Calibri" w:hAnsi="Calibri"/>
          <w:b w:val="0"/>
          <w:i w:val="0"/>
          <w:color w:val="555555"/>
          <w:sz w:val="28"/>
          <w:u w:val="none"/>
        </w:rPr>
        <w:t xml:space="preserve">   ·   </w:t>
      </w:r>
      <w:r>
        <w:rPr>
          <w:rFonts w:ascii="Calibri" w:hAnsi="Calibri"/>
          <w:b w:val="0"/>
          <w:i/>
          <w:color w:val="555555"/>
          <w:sz w:val="28"/>
          <w:u w:val="none"/>
        </w:rPr>
        <w:t>Built 2026-06-22</w:t>
      </w:r>
    </w:p>
    <w:p>
      <w:pPr>
        <w:spacing w:before="0" w:after="240"/>
      </w:pPr>
      <w:r>
        <w:rPr>
          <w:rFonts w:ascii="Calibri" w:hAnsi="Calibri"/>
          <w:b w:val="0"/>
          <w:i/>
          <w:color w:val="3F4F4A"/>
          <w:sz w:val="22"/>
          <w:u w:val="none"/>
        </w:rPr>
        <w:t>For SMSF advisers who don't use CLASS Super as administration software.</w:t>
      </w:r>
    </w:p>
    <w:p>
      <w:pPr>
        <w:spacing w:before="0" w:after="480"/>
      </w:pPr>
      <w:r>
        <w:rPr>
          <w:rFonts w:ascii="Calibri" w:hAnsi="Calibri"/>
          <w:b w:val="0"/>
          <w:i w:val="0"/>
          <w:color w:val="1D3B34"/>
          <w:sz w:val="24"/>
          <w:u w:val="none"/>
        </w:rPr>
        <w:t>Model the impact of the Division 296 cost-base reset election on an SMSF in five minutes. One inputs tab, two scenarios side by side, one printable client tearsheet.</w:t>
      </w:r>
    </w:p>
    <w:p>
      <w:pPr>
        <w:spacing w:before="0" w:after="200"/>
      </w:pPr>
      <w:r>
        <w:rPr>
          <w:rFonts w:ascii="Calibri" w:hAnsi="Calibri"/>
          <w:b/>
          <w:i w:val="0"/>
          <w:color w:val="555555"/>
          <w:sz w:val="18"/>
          <w:u w:val="none"/>
        </w:rPr>
        <w:t xml:space="preserve">QUICK CONTENTS  </w:t>
      </w:r>
      <w:hyperlink w:anchor="qs_quickstart">
        <w:r>
          <w:rPr>
            <w:rFonts w:ascii="Calibri" w:hAnsi="Calibri"/>
            <w:sz w:val="20"/>
            <w:color w:val="1D3B34"/>
            <w:b/>
            <w:rStyle w:val="Hyperlink"/>
          </w:rPr>
          <w:t xml:space="preserve">Quick Start</w:t>
        </w:r>
      </w:hyperlink>
      <w:r>
        <w:rPr>
          <w:rFonts w:ascii="Calibri" w:hAnsi="Calibri"/>
          <w:b w:val="0"/>
          <w:i w:val="0"/>
          <w:color w:val="555555"/>
          <w:sz w:val="20"/>
          <w:u w:val="none"/>
        </w:rPr>
        <w:t xml:space="preserve"> p.2</w:t>
      </w:r>
      <w:r>
        <w:rPr>
          <w:rFonts w:ascii="Calibri" w:hAnsi="Calibri"/>
          <w:b w:val="0"/>
          <w:i w:val="0"/>
          <w:color w:val="555555"/>
          <w:sz w:val="20"/>
          <w:u w:val="none"/>
        </w:rPr>
        <w:t xml:space="preserve">   ·   </w:t>
      </w:r>
      <w:hyperlink w:anchor="qs_map">
        <w:r>
          <w:rPr>
            <w:rFonts w:ascii="Calibri" w:hAnsi="Calibri"/>
            <w:sz w:val="20"/>
            <w:color w:val="1D3B34"/>
            <w:b/>
            <w:rStyle w:val="Hyperlink"/>
          </w:rPr>
          <w:t xml:space="preserve">Workbook map</w:t>
        </w:r>
      </w:hyperlink>
      <w:r>
        <w:rPr>
          <w:rFonts w:ascii="Calibri" w:hAnsi="Calibri"/>
          <w:b w:val="0"/>
          <w:i w:val="0"/>
          <w:color w:val="555555"/>
          <w:sz w:val="20"/>
          <w:u w:val="none"/>
        </w:rPr>
        <w:t xml:space="preserve"> p.3</w:t>
      </w:r>
      <w:r>
        <w:rPr>
          <w:rFonts w:ascii="Calibri" w:hAnsi="Calibri"/>
          <w:b w:val="0"/>
          <w:i w:val="0"/>
          <w:color w:val="555555"/>
          <w:sz w:val="20"/>
          <w:u w:val="none"/>
        </w:rPr>
        <w:t xml:space="preserve">   ·   </w:t>
      </w:r>
      <w:hyperlink w:anchor="qs_inputs">
        <w:r>
          <w:rPr>
            <w:rFonts w:ascii="Calibri" w:hAnsi="Calibri"/>
            <w:sz w:val="20"/>
            <w:color w:val="1D3B34"/>
            <w:b/>
            <w:rStyle w:val="Hyperlink"/>
          </w:rPr>
          <w:t xml:space="preserve">Inputs reference</w:t>
        </w:r>
      </w:hyperlink>
      <w:r>
        <w:rPr>
          <w:rFonts w:ascii="Calibri" w:hAnsi="Calibri"/>
          <w:b w:val="0"/>
          <w:i w:val="0"/>
          <w:color w:val="555555"/>
          <w:sz w:val="20"/>
          <w:u w:val="none"/>
        </w:rPr>
        <w:t xml:space="preserve"> p.5</w:t>
      </w:r>
      <w:r>
        <w:rPr>
          <w:rFonts w:ascii="Calibri" w:hAnsi="Calibri"/>
          <w:b w:val="0"/>
          <w:i w:val="0"/>
          <w:color w:val="555555"/>
          <w:sz w:val="20"/>
          <w:u w:val="none"/>
        </w:rPr>
        <w:t xml:space="preserve">   ·   </w:t>
      </w:r>
      <w:hyperlink w:anchor="qs_cheatsheet">
        <w:r>
          <w:rPr>
            <w:rFonts w:ascii="Calibri" w:hAnsi="Calibri"/>
            <w:sz w:val="20"/>
            <w:color w:val="1D3B34"/>
            <w:b/>
            <w:rStyle w:val="Hyperlink"/>
          </w:rPr>
          <w:t xml:space="preserve">Cheat sheet</w:t>
        </w:r>
      </w:hyperlink>
      <w:r>
        <w:rPr>
          <w:rFonts w:ascii="Calibri" w:hAnsi="Calibri"/>
          <w:b w:val="0"/>
          <w:i w:val="0"/>
          <w:color w:val="555555"/>
          <w:sz w:val="20"/>
          <w:u w:val="none"/>
        </w:rPr>
        <w:t xml:space="preserve"> p.9</w:t>
      </w:r>
    </w:p>
    <w:p>
      <w:pPr>
        <w:spacing w:before="0" w:after="4400"/>
      </w:pPr>
    </w:p>
    <w:p>
      <w:pPr>
        <w:spacing w:before="0" w:after="0"/>
        <w:jc w:val="center"/>
        <w:pBdr>
          <w:top w:val="single" w:sz="8" w:space="6" w:color="A61B1B"/>
          <w:left w:val="single" w:sz="8" w:space="6" w:color="A61B1B"/>
          <w:bottom w:val="single" w:sz="8" w:space="6" w:color="A61B1B"/>
          <w:right w:val="single" w:sz="8" w:space="6" w:color="A61B1B"/>
        </w:pBdr>
      </w:pPr>
      <w:r>
        <w:rPr>
          <w:rFonts w:ascii="Calibri" w:hAnsi="Calibri"/>
          <w:b/>
          <w:i w:val="0"/>
          <w:color w:val="A61B1B"/>
          <w:sz w:val="18"/>
          <w:u w:val="none"/>
        </w:rPr>
        <w:t>ILLUSTRATIVE ONLY — NOT FINANCIAL, TAX OR LEGAL ADVICE.   Confirm every figure against the final ATO method and the fund's tax position before relying on it.</w:t>
      </w:r>
    </w:p>
    <w:p>
      <w:pPr>
        <w:spacing w:before="0" w:after="0"/>
      </w:pPr>
      <w:r>
        <w:br w:type="page"/>
      </w:r>
    </w:p>
    <w:p>
      <w:bookmarkStart w:id="101" w:name="qs_quickstart"/>
      <w:pPr>
        <w:pStyle w:val="Heading1"/>
        <w:spacing w:before="120" w:after="60"/>
        <w:pBdr>
          <w:left w:val="single" w:sz="32" w:space="8" w:color="1D3B34"/>
        </w:pBdr>
      </w:pPr>
      <w:r>
        <w:rPr>
          <w:rFonts w:ascii="Calibri" w:hAnsi="Calibri"/>
          <w:b/>
          <w:i w:val="0"/>
          <w:color w:val="1D3B34"/>
          <w:sz w:val="32"/>
          <w:u w:val="none"/>
        </w:rPr>
        <w:t>Quick Start</w:t>
      </w:r>
      <w:bookmarkEnd w:id="101"/>
    </w:p>
    <w:p>
      <w:pPr>
        <w:spacing w:before="0" w:after="60" w:line="283" w:lineRule="auto"/>
      </w:pPr>
      <w:r>
        <w:rPr>
          <w:rFonts w:ascii="Calibri" w:hAnsi="Calibri"/>
          <w:b w:val="0"/>
          <w:i/>
          <w:color w:val="555555"/>
          <w:sz w:val="22"/>
          <w:u w:val="none"/>
        </w:rPr>
        <w:t>Three steps. Five minutes. One headline number.</w:t>
      </w:r>
    </w:p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3F4F4A"/>
          <w:sz w:val="24"/>
          <w:u w:val="none"/>
        </w:rPr>
        <w:t>Three steps to a result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"/>
            <w:shd w:val="clear" w:color="auto" w:fill="1D3B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36"/>
                <w:u w:val="none"/>
              </w:rPr>
              <w:t>1</w:t>
            </w:r>
          </w:p>
        </w:tc>
        <w:tc>
          <w:tcPr>
            <w:tcW w:type="dxa" w:w="521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3B34"/>
                <w:sz w:val="22"/>
                <w:u w:val="none"/>
              </w:rPr>
              <w:t>Inputs → Members (rows 7–10).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1"/>
                <w:u w:val="none"/>
              </w:rPr>
              <w:t>Type each member's TSB into column B. Split %, $3m–$10m band, and above-$10m band derive automatically.</w:t>
            </w:r>
          </w:p>
        </w:tc>
      </w:tr>
      <w:tr>
        <w:tc>
          <w:tcPr>
            <w:tcW w:type="dxa" w:w="680"/>
            <w:shd w:val="clear" w:color="auto" w:fill="1D3B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36"/>
                <w:u w:val="none"/>
              </w:rPr>
              <w:t>2</w:t>
            </w:r>
          </w:p>
        </w:tc>
        <w:tc>
          <w:tcPr>
            <w:tcW w:type="dxa" w:w="521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3B34"/>
                <w:sz w:val="22"/>
                <w:u w:val="none"/>
              </w:rPr>
              <w:t>Inputs → Asset register (rows 16–65).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1"/>
                <w:u w:val="none"/>
              </w:rPr>
              <w:t>For each CGT asset held at 30 June 2026: original cost base (C), market value at 30 Jun 2026 (E), projected sale proceeds (G), held &gt; 12 months (I). Column H is a locked formula — don't edit.</w:t>
            </w:r>
          </w:p>
        </w:tc>
      </w:tr>
      <w:tr>
        <w:tc>
          <w:tcPr>
            <w:tcW w:type="dxa" w:w="680"/>
            <w:shd w:val="clear" w:color="auto" w:fill="1D3B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36"/>
                <w:u w:val="none"/>
              </w:rPr>
              <w:t>3</w:t>
            </w:r>
          </w:p>
        </w:tc>
        <w:tc>
          <w:tcPr>
            <w:tcW w:type="dxa" w:w="521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3B34"/>
                <w:sz w:val="22"/>
                <w:u w:val="none"/>
              </w:rPr>
              <w:t>Comparison tab.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1"/>
                <w:u w:val="none"/>
              </w:rPr>
              <w:t>Read the three headline cards: If no reset · If elected · Net effect. Negative net effect (green) = the reset saves Division 296 tax.</w:t>
            </w:r>
          </w:p>
        </w:tc>
      </w:tr>
    </w:tbl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3F4F4A"/>
          <w:sz w:val="24"/>
          <w:u w:val="none"/>
        </w:rPr>
        <w:t>The four tabs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D3B34"/>
                <w:sz w:val="24"/>
                <w:u w:val="none"/>
              </w:rPr>
              <w:t>Inputs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0"/>
                <w:u w:val="none"/>
              </w:rPr>
              <w:t>the only tab you edit.</w:t>
            </w:r>
          </w:p>
        </w:tc>
        <w:tc>
          <w:tcPr>
            <w:tcW w:type="dxa" w:w="521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3F4F4A"/>
                <w:sz w:val="24"/>
                <w:u w:val="none"/>
              </w:rPr>
              <w:t>Analyser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0"/>
                <w:u w:val="none"/>
              </w:rPr>
              <w:t>auto. Fund summary, per-asset detail, reconciliation.</w:t>
            </w:r>
          </w:p>
        </w:tc>
      </w:tr>
      <w:tr>
        <w:tc>
          <w:tcPr>
            <w:tcW w:type="dxa" w:w="521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8B4A1E"/>
                <w:sz w:val="24"/>
                <w:u w:val="none"/>
              </w:rPr>
              <w:t>Comparison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0"/>
                <w:u w:val="none"/>
              </w:rPr>
              <w:t>auto + printable client tearsheet.</w:t>
            </w:r>
          </w:p>
        </w:tc>
        <w:tc>
          <w:tcPr>
            <w:tcW w:type="dxa" w:w="521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8A6D00"/>
                <w:sz w:val="24"/>
                <w:u w:val="none"/>
              </w:rPr>
              <w:t>Notes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0"/>
                <w:u w:val="none"/>
              </w:rPr>
              <w:t>terminology, full caveats, valuation log.</w:t>
            </w:r>
          </w:p>
        </w:tc>
      </w:tr>
    </w:tbl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3F4F4A"/>
          <w:sz w:val="24"/>
          <w:u w:val="none"/>
        </w:rPr>
        <w:t>Where the answer lives</w:t>
      </w:r>
    </w:p>
    <w:p>
      <w:pPr>
        <w:spacing w:before="0" w:after="60" w:line="283" w:lineRule="auto"/>
      </w:pPr>
      <w:r>
        <w:rPr>
          <w:rFonts w:ascii="Calibri" w:hAnsi="Calibri"/>
          <w:b w:val="0"/>
          <w:i w:val="0"/>
          <w:sz w:val="21"/>
          <w:u w:val="none"/>
        </w:rPr>
        <w:t>Comparison tab → Headline cards (top of the tearsheet). Three numbers: total Div 296 tax under each scenario plus the signed net effect.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1"/>
          <w:u w:val="none"/>
        </w:rPr>
        <w:t>Negative net effect</w:t>
      </w:r>
      <w:r>
        <w:rPr>
          <w:rFonts w:ascii="Calibri" w:hAnsi="Calibri"/>
          <w:b w:val="0"/>
          <w:i w:val="0"/>
          <w:sz w:val="21"/>
          <w:u w:val="none"/>
        </w:rPr>
        <w:t xml:space="preserve"> — reset reduces Division 296 tax — typically on assets sitting at an unrealised gain at 30 June 2026.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1"/>
          <w:u w:val="none"/>
        </w:rPr>
        <w:t>Positive net effect</w:t>
      </w:r>
      <w:r>
        <w:rPr>
          <w:rFonts w:ascii="Calibri" w:hAnsi="Calibri"/>
          <w:b w:val="0"/>
          <w:i w:val="0"/>
          <w:sz w:val="21"/>
          <w:u w:val="none"/>
        </w:rPr>
        <w:t xml:space="preserve"> — reset increases Division 296 tax — the ‘reset trap’ on assets at an unrealised loss.</w:t>
      </w:r>
    </w:p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3F4F4A"/>
          <w:sz w:val="24"/>
          <w:u w:val="none"/>
        </w:rPr>
        <w:t>Two safety banners to watch on Inputs</w:t>
      </w:r>
    </w:p>
    <w:p>
      <w:pPr>
        <w:spacing w:before="0" w:after="40"/>
      </w:pPr>
      <w:r>
        <w:rPr>
          <w:rFonts w:ascii="Calibri" w:hAnsi="Calibri"/>
          <w:b/>
          <w:i w:val="0"/>
          <w:color w:val="A61B1B"/>
          <w:sz w:val="21"/>
          <w:u w:val="none"/>
        </w:rPr>
        <w:t xml:space="preserve">Red — formulas in the register. </w:t>
      </w:r>
      <w:r>
        <w:rPr>
          <w:rFonts w:ascii="Calibri" w:hAnsi="Calibri"/>
          <w:b w:val="0"/>
          <w:i w:val="0"/>
          <w:sz w:val="21"/>
          <w:u w:val="none"/>
        </w:rPr>
        <w:t>You used Ctrl+V instead of Paste-Special &gt; Values. Press Ctrl+Z, re-paste as values.</w:t>
      </w:r>
    </w:p>
    <w:p>
      <w:pPr>
        <w:spacing w:before="0" w:after="40"/>
      </w:pPr>
      <w:r>
        <w:rPr>
          <w:rFonts w:ascii="Calibri" w:hAnsi="Calibri"/>
          <w:b/>
          <w:i w:val="0"/>
          <w:color w:val="A61B1B"/>
          <w:sz w:val="21"/>
          <w:u w:val="none"/>
        </w:rPr>
        <w:t xml:space="preserve">Red — proceeds without 30 Jun 2026 value. </w:t>
      </w:r>
      <w:r>
        <w:rPr>
          <w:rFonts w:ascii="Calibri" w:hAnsi="Calibri"/>
          <w:b w:val="0"/>
          <w:i w:val="0"/>
          <w:sz w:val="21"/>
          <w:u w:val="none"/>
        </w:rPr>
        <w:t>Any row with column G filled but column E blank is silently excluded from every figure. Fill column E, or clear column G.</w:t>
      </w:r>
    </w:p>
    <w:p>
      <w:pPr>
        <w:spacing w:before="0" w:after="0"/>
      </w:pPr>
      <w:r>
        <w:br w:type="page"/>
      </w:r>
    </w:p>
    <w:p>
      <w:bookmarkStart w:id="102" w:name="qs_map"/>
      <w:pPr>
        <w:pStyle w:val="Heading1"/>
        <w:spacing w:before="120" w:after="60"/>
        <w:pBdr>
          <w:left w:val="single" w:sz="32" w:space="8" w:color="1D3B34"/>
        </w:pBdr>
      </w:pPr>
      <w:r>
        <w:rPr>
          <w:rFonts w:ascii="Calibri" w:hAnsi="Calibri"/>
          <w:b/>
          <w:i w:val="0"/>
          <w:color w:val="1D3B34"/>
          <w:sz w:val="32"/>
          <w:u w:val="none"/>
        </w:rPr>
        <w:t>Workbook at a glance</w:t>
      </w:r>
      <w:bookmarkEnd w:id="102"/>
    </w:p>
    <w:p>
      <w:pPr>
        <w:spacing w:before="0" w:after="60" w:line="283" w:lineRule="auto"/>
      </w:pPr>
      <w:r>
        <w:rPr>
          <w:rFonts w:ascii="Calibri" w:hAnsi="Calibri"/>
          <w:b w:val="0"/>
          <w:i/>
          <w:color w:val="555555"/>
          <w:sz w:val="22"/>
          <w:u w:val="none"/>
        </w:rPr>
        <w:t>The four tabs, what each does, and how data flows between them.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1489"/>
            <w:shd w:val="clear" w:color="auto" w:fill="1D3B3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4"/>
                <w:u w:val="none"/>
              </w:rPr>
              <w:t>INPUTS</w:t>
            </w:r>
          </w:p>
        </w:tc>
        <w:tc>
          <w:tcPr>
            <w:tcW w:type="dxa" w:w="148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55555"/>
                <w:sz w:val="36"/>
                <w:u w:val="none"/>
              </w:rPr>
              <w:t>→</w:t>
            </w:r>
          </w:p>
        </w:tc>
        <w:tc>
          <w:tcPr>
            <w:tcW w:type="dxa" w:w="1489"/>
            <w:shd w:val="clear" w:color="auto" w:fill="3F4F4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4"/>
                <w:u w:val="none"/>
              </w:rPr>
              <w:t>ANALYSER</w:t>
            </w:r>
          </w:p>
        </w:tc>
        <w:tc>
          <w:tcPr>
            <w:tcW w:type="dxa" w:w="148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55555"/>
                <w:sz w:val="36"/>
                <w:u w:val="none"/>
              </w:rPr>
              <w:t>→</w:t>
            </w:r>
          </w:p>
        </w:tc>
        <w:tc>
          <w:tcPr>
            <w:tcW w:type="dxa" w:w="1489"/>
            <w:shd w:val="clear" w:color="auto" w:fill="8B4A1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4"/>
                <w:u w:val="none"/>
              </w:rPr>
              <w:t>COMPARISON</w:t>
            </w:r>
          </w:p>
        </w:tc>
        <w:tc>
          <w:tcPr>
            <w:tcW w:type="dxa" w:w="1489"/>
          </w:tcPr>
          <w:p>
            <w:r/>
          </w:p>
        </w:tc>
        <w:tc>
          <w:tcPr>
            <w:tcW w:type="dxa" w:w="1489"/>
            <w:shd w:val="clear" w:color="auto" w:fill="8A6D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4"/>
                <w:u w:val="none"/>
              </w:rPr>
              <w:t>NOTES</w:t>
            </w:r>
          </w:p>
        </w:tc>
      </w:tr>
      <w:tr>
        <w:tc>
          <w:tcPr>
            <w:tcW w:type="dxa" w:w="1489"/>
            <w:shd w:val="clear" w:color="auto" w:fill="F6F6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/>
                <w:color w:val="1D3B34"/>
                <w:sz w:val="18"/>
                <w:u w:val="none"/>
              </w:rPr>
              <w:t>you edit</w:t>
            </w:r>
          </w:p>
        </w:tc>
        <w:tc>
          <w:tcPr>
            <w:tcW w:type="dxa" w:w="1489"/>
          </w:tcPr>
          <w:p>
            <w:r/>
          </w:p>
        </w:tc>
        <w:tc>
          <w:tcPr>
            <w:tcW w:type="dxa" w:w="1489"/>
            <w:shd w:val="clear" w:color="auto" w:fill="F6F6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/>
                <w:color w:val="3F4F4A"/>
                <w:sz w:val="18"/>
                <w:u w:val="none"/>
              </w:rPr>
              <w:t>auto</w:t>
            </w:r>
          </w:p>
        </w:tc>
        <w:tc>
          <w:tcPr>
            <w:tcW w:type="dxa" w:w="1489"/>
          </w:tcPr>
          <w:p>
            <w:r/>
          </w:p>
        </w:tc>
        <w:tc>
          <w:tcPr>
            <w:tcW w:type="dxa" w:w="1489"/>
            <w:shd w:val="clear" w:color="auto" w:fill="F6F6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/>
                <w:color w:val="8B4A1E"/>
                <w:sz w:val="18"/>
                <w:u w:val="none"/>
              </w:rPr>
              <w:t>auto + print</w:t>
            </w:r>
          </w:p>
        </w:tc>
        <w:tc>
          <w:tcPr>
            <w:tcW w:type="dxa" w:w="1489"/>
          </w:tcPr>
          <w:p>
            <w:r/>
          </w:p>
        </w:tc>
        <w:tc>
          <w:tcPr>
            <w:tcW w:type="dxa" w:w="1489"/>
            <w:shd w:val="clear" w:color="auto" w:fill="F6F6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/>
                <w:color w:val="8A6D00"/>
                <w:sz w:val="18"/>
                <w:u w:val="none"/>
              </w:rPr>
              <w:t>reference</w:t>
            </w:r>
          </w:p>
        </w:tc>
      </w:tr>
      <w:tr>
        <w:tc>
          <w:tcPr>
            <w:tcW w:type="dxa" w:w="1489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20"/>
                <w:u w:val="none"/>
              </w:rPr>
              <w:t>• Members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20"/>
                <w:u w:val="none"/>
              </w:rPr>
              <w:t>• Asset register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20"/>
                <w:u w:val="none"/>
              </w:rPr>
              <w:t>• Assumptions</w:t>
            </w:r>
          </w:p>
        </w:tc>
        <w:tc>
          <w:tcPr>
            <w:tcW w:type="dxa" w:w="1489"/>
          </w:tcPr>
          <w:p>
            <w:r/>
          </w:p>
        </w:tc>
        <w:tc>
          <w:tcPr>
            <w:tcW w:type="dxa" w:w="1489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20"/>
                <w:u w:val="none"/>
              </w:rPr>
              <w:t>• Fund summary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20"/>
                <w:u w:val="none"/>
              </w:rPr>
              <w:t>• Per-asset detail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20"/>
                <w:u w:val="none"/>
              </w:rPr>
              <w:t>• Reconciliation</w:t>
            </w:r>
          </w:p>
        </w:tc>
        <w:tc>
          <w:tcPr>
            <w:tcW w:type="dxa" w:w="1489"/>
          </w:tcPr>
          <w:p>
            <w:r/>
          </w:p>
        </w:tc>
        <w:tc>
          <w:tcPr>
            <w:tcW w:type="dxa" w:w="1489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20"/>
                <w:u w:val="none"/>
              </w:rPr>
              <w:t>• Headline cards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20"/>
                <w:u w:val="none"/>
              </w:rPr>
              <w:t>• Per-member breakdown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20"/>
                <w:u w:val="none"/>
              </w:rPr>
              <w:t>• Top-10 assets</w:t>
            </w:r>
          </w:p>
        </w:tc>
        <w:tc>
          <w:tcPr>
            <w:tcW w:type="dxa" w:w="1489"/>
          </w:tcPr>
          <w:p>
            <w:r/>
          </w:p>
        </w:tc>
        <w:tc>
          <w:tcPr>
            <w:tcW w:type="dxa" w:w="1489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20"/>
                <w:u w:val="none"/>
              </w:rPr>
              <w:t>• Terminology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20"/>
                <w:u w:val="none"/>
              </w:rPr>
              <w:t>• Caveats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20"/>
                <w:u w:val="none"/>
              </w:rPr>
              <w:t>• Valuation log</w:t>
            </w:r>
          </w:p>
        </w:tc>
      </w:tr>
    </w:tbl>
    <w:p>
      <w:pPr>
        <w:spacing w:before="280" w:after="0"/>
      </w:pPr>
      <w:r>
        <w:rPr>
          <w:rFonts w:ascii="Calibri" w:hAnsi="Calibri"/>
          <w:b w:val="0"/>
          <w:i/>
          <w:color w:val="555555"/>
          <w:sz w:val="20"/>
          <w:u w:val="none"/>
        </w:rPr>
        <w:t>Read the arrows: Inputs feeds the Analyser; the Analyser drives the Comparison tearsheet. Notes sits to the side as reference — it never feeds a tax figure.</w:t>
      </w:r>
    </w:p>
    <w:p>
      <w:pPr>
        <w:spacing w:before="0" w:after="0"/>
      </w:pPr>
      <w:r>
        <w:br w:type="page"/>
      </w:r>
    </w:p>
    <w:p>
      <w:bookmarkStart w:id="103" w:name="qs_contents"/>
      <w:pPr>
        <w:pStyle w:val="Heading1"/>
        <w:spacing w:before="120" w:after="60"/>
        <w:pBdr>
          <w:left w:val="single" w:sz="32" w:space="8" w:color="3F4F4A"/>
        </w:pBdr>
      </w:pPr>
      <w:r>
        <w:rPr>
          <w:rFonts w:ascii="Calibri" w:hAnsi="Calibri"/>
          <w:b/>
          <w:i w:val="0"/>
          <w:color w:val="3F4F4A"/>
          <w:sz w:val="32"/>
          <w:u w:val="none"/>
        </w:rPr>
        <w:t>Contents</w:t>
      </w:r>
      <w:bookmarkEnd w:id="103"/>
    </w:p>
    <w:p>
      <w:pPr>
        <w:spacing w:before="0" w:after="60" w:line="283" w:lineRule="auto"/>
      </w:pPr>
      <w:r>
        <w:rPr>
          <w:rFonts w:ascii="Calibri" w:hAnsi="Calibri"/>
          <w:b w:val="0"/>
          <w:i/>
          <w:color w:val="555555"/>
          <w:sz w:val="20"/>
          <w:u w:val="none"/>
        </w:rPr>
        <w:t>Click any entry to jump to that section. The auto-TOC below populates when Word updates fields (right-click → Update Field).</w:t>
      </w:r>
    </w:p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3F4F4A"/>
          <w:sz w:val="24"/>
          <w:u w:val="none"/>
        </w:rPr>
        <w:t>Auto Table of Contents</w:t>
      </w:r>
    </w:p>
    <w:p>
      <w:pPr>
        <w:spacing w:before="0" w:after="200"/>
      </w:pPr>
      <w:r>
        <w:rPr>
          <w:rFonts w:ascii="Calibri" w:hAnsi="Calibri"/>
          <w:i/>
          <w:color w:val="555555"/>
          <w:sz w:val="18"/>
        </w:rPr>
        <w:fldChar w:fldCharType="begin" w:dirty="true"/>
        <w:instrText xml:space="preserve"> TOC \o "1-2" \h \z \u </w:instrText>
        <w:fldChar w:fldCharType="separate"/>
        <w:t>Right-click → Update Field to populate this Contents.</w:t>
        <w:fldChar w:fldCharType="end"/>
      </w:r>
    </w:p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3F4F4A"/>
          <w:sz w:val="24"/>
          <w:u w:val="none"/>
        </w:rPr>
        <w:t>Manual fallback (always works)</w:t>
      </w:r>
    </w:p>
    <w:p>
      <w:pPr>
        <w:spacing w:before="0" w:after="60" w:line="283" w:lineRule="auto"/>
      </w:pPr>
      <w:r>
        <w:rPr>
          <w:rFonts w:ascii="Calibri" w:hAnsi="Calibri"/>
          <w:b w:val="0"/>
          <w:i w:val="0"/>
          <w:color w:val="555555"/>
          <w:sz w:val="20"/>
          <w:u w:val="none"/>
        </w:rPr>
        <w:t>Use this if the auto-TOC above shows the placeholder text instead of a list.</w:t>
      </w:r>
    </w:p>
    <w:p>
      <w:pPr>
        <w:spacing w:before="0" w:after="60" w:line="288" w:lineRule="auto"/>
      </w:pPr>
      <w:hyperlink w:anchor="qs_quickstart">
        <w:r>
          <w:rPr>
            <w:rFonts w:ascii="Calibri" w:hAnsi="Calibri"/>
            <w:sz w:val="22"/>
            <w:color w:val="1D3B34"/>
            <w:b/>
            <w:rStyle w:val="Hyperlink"/>
          </w:rPr>
          <w:t xml:space="preserve">Quick Start</w:t>
        </w:r>
      </w:hyperlink>
      <w:r>
        <w:rPr>
          <w:rFonts w:ascii="Calibri" w:hAnsi="Calibri"/>
          <w:b w:val="0"/>
          <w:i w:val="0"/>
          <w:color w:val="555555"/>
          <w:sz w:val="22"/>
          <w:u w:val="none"/>
        </w:rPr>
        <w:t xml:space="preserve">     …     p.2</w:t>
      </w:r>
    </w:p>
    <w:p>
      <w:pPr>
        <w:spacing w:before="0" w:after="60" w:line="288" w:lineRule="auto"/>
      </w:pPr>
      <w:hyperlink w:anchor="qs_map">
        <w:r>
          <w:rPr>
            <w:rFonts w:ascii="Calibri" w:hAnsi="Calibri"/>
            <w:sz w:val="22"/>
            <w:color w:val="1D3B34"/>
            <w:b/>
            <w:rStyle w:val="Hyperlink"/>
          </w:rPr>
          <w:t xml:space="preserve">Workbook at a glance</w:t>
        </w:r>
      </w:hyperlink>
      <w:r>
        <w:rPr>
          <w:rFonts w:ascii="Calibri" w:hAnsi="Calibri"/>
          <w:b w:val="0"/>
          <w:i w:val="0"/>
          <w:color w:val="555555"/>
          <w:sz w:val="22"/>
          <w:u w:val="none"/>
        </w:rPr>
        <w:t xml:space="preserve">     …     p.3</w:t>
      </w:r>
    </w:p>
    <w:p>
      <w:pPr>
        <w:spacing w:before="0" w:after="60" w:line="288" w:lineRule="auto"/>
      </w:pPr>
      <w:hyperlink w:anchor="qs_inputs">
        <w:r>
          <w:rPr>
            <w:rFonts w:ascii="Calibri" w:hAnsi="Calibri"/>
            <w:sz w:val="22"/>
            <w:color w:val="1D3B34"/>
            <w:b/>
            <w:rStyle w:val="Hyperlink"/>
          </w:rPr>
          <w:t xml:space="preserve">Inputs reference</w:t>
        </w:r>
      </w:hyperlink>
      <w:r>
        <w:rPr>
          <w:rFonts w:ascii="Calibri" w:hAnsi="Calibri"/>
          <w:b w:val="0"/>
          <w:i w:val="0"/>
          <w:color w:val="555555"/>
          <w:sz w:val="22"/>
          <w:u w:val="none"/>
        </w:rPr>
        <w:t xml:space="preserve">     …     p.5</w:t>
      </w:r>
    </w:p>
    <w:p>
      <w:pPr>
        <w:spacing w:before="0" w:after="60" w:line="288" w:lineRule="auto"/>
      </w:pPr>
      <w:hyperlink w:anchor="qs_analyser">
        <w:r>
          <w:rPr>
            <w:rFonts w:ascii="Calibri" w:hAnsi="Calibri"/>
            <w:sz w:val="22"/>
            <w:color w:val="1D3B34"/>
            <w:b/>
            <w:rStyle w:val="Hyperlink"/>
          </w:rPr>
          <w:t xml:space="preserve">Reading the Analyser</w:t>
        </w:r>
      </w:hyperlink>
      <w:r>
        <w:rPr>
          <w:rFonts w:ascii="Calibri" w:hAnsi="Calibri"/>
          <w:b w:val="0"/>
          <w:i w:val="0"/>
          <w:color w:val="555555"/>
          <w:sz w:val="22"/>
          <w:u w:val="none"/>
        </w:rPr>
        <w:t xml:space="preserve">     …     p.7</w:t>
      </w:r>
    </w:p>
    <w:p>
      <w:pPr>
        <w:spacing w:before="0" w:after="60" w:line="288" w:lineRule="auto"/>
      </w:pPr>
      <w:hyperlink w:anchor="qs_comparison">
        <w:r>
          <w:rPr>
            <w:rFonts w:ascii="Calibri" w:hAnsi="Calibri"/>
            <w:sz w:val="22"/>
            <w:color w:val="1D3B34"/>
            <w:b/>
            <w:rStyle w:val="Hyperlink"/>
          </w:rPr>
          <w:t xml:space="preserve">Comparison tearsheet</w:t>
        </w:r>
      </w:hyperlink>
      <w:r>
        <w:rPr>
          <w:rFonts w:ascii="Calibri" w:hAnsi="Calibri"/>
          <w:b w:val="0"/>
          <w:i w:val="0"/>
          <w:color w:val="555555"/>
          <w:sz w:val="22"/>
          <w:u w:val="none"/>
        </w:rPr>
        <w:t xml:space="preserve">     …     p.7</w:t>
      </w:r>
    </w:p>
    <w:p>
      <w:pPr>
        <w:spacing w:before="0" w:after="60" w:line="288" w:lineRule="auto"/>
      </w:pPr>
      <w:hyperlink w:anchor="qs_caveats">
        <w:r>
          <w:rPr>
            <w:rFonts w:ascii="Calibri" w:hAnsi="Calibri"/>
            <w:sz w:val="22"/>
            <w:color w:val="1D3B34"/>
            <w:b/>
            <w:rStyle w:val="Hyperlink"/>
          </w:rPr>
          <w:t xml:space="preserve">Caveats</w:t>
        </w:r>
      </w:hyperlink>
      <w:r>
        <w:rPr>
          <w:rFonts w:ascii="Calibri" w:hAnsi="Calibri"/>
          <w:b w:val="0"/>
          <w:i w:val="0"/>
          <w:color w:val="555555"/>
          <w:sz w:val="22"/>
          <w:u w:val="none"/>
        </w:rPr>
        <w:t xml:space="preserve">     …     p.8</w:t>
      </w:r>
    </w:p>
    <w:p>
      <w:pPr>
        <w:spacing w:before="0" w:after="60" w:line="288" w:lineRule="auto"/>
      </w:pPr>
      <w:hyperlink w:anchor="qs_troubleshooting">
        <w:r>
          <w:rPr>
            <w:rFonts w:ascii="Calibri" w:hAnsi="Calibri"/>
            <w:sz w:val="22"/>
            <w:color w:val="1D3B34"/>
            <w:b/>
            <w:rStyle w:val="Hyperlink"/>
          </w:rPr>
          <w:t xml:space="preserve">Troubleshooting</w:t>
        </w:r>
      </w:hyperlink>
      <w:r>
        <w:rPr>
          <w:rFonts w:ascii="Calibri" w:hAnsi="Calibri"/>
          <w:b w:val="0"/>
          <w:i w:val="0"/>
          <w:color w:val="555555"/>
          <w:sz w:val="22"/>
          <w:u w:val="none"/>
        </w:rPr>
        <w:t xml:space="preserve">     …     p.8</w:t>
      </w:r>
    </w:p>
    <w:p>
      <w:pPr>
        <w:spacing w:before="0" w:after="60" w:line="288" w:lineRule="auto"/>
      </w:pPr>
      <w:hyperlink w:anchor="qs_cheatsheet">
        <w:r>
          <w:rPr>
            <w:rFonts w:ascii="Calibri" w:hAnsi="Calibri"/>
            <w:sz w:val="22"/>
            <w:color w:val="1D3B34"/>
            <w:b/>
            <w:rStyle w:val="Hyperlink"/>
          </w:rPr>
          <w:t xml:space="preserve">Cheat sheet</w:t>
        </w:r>
      </w:hyperlink>
      <w:r>
        <w:rPr>
          <w:rFonts w:ascii="Calibri" w:hAnsi="Calibri"/>
          <w:b w:val="0"/>
          <w:i w:val="0"/>
          <w:color w:val="555555"/>
          <w:sz w:val="22"/>
          <w:u w:val="none"/>
        </w:rPr>
        <w:t xml:space="preserve">     …     p.9</w:t>
      </w:r>
    </w:p>
    <w:p>
      <w:pPr>
        <w:spacing w:before="0" w:after="0"/>
      </w:pPr>
      <w:r>
        <w:br w:type="page"/>
      </w:r>
    </w:p>
    <w:p>
      <w:bookmarkStart w:id="104" w:name="qs_inputs"/>
      <w:pPr>
        <w:pStyle w:val="Heading1"/>
        <w:spacing w:before="120" w:after="60"/>
        <w:pBdr>
          <w:left w:val="single" w:sz="32" w:space="8" w:color="1D3B34"/>
        </w:pBdr>
      </w:pPr>
      <w:r>
        <w:rPr>
          <w:rFonts w:ascii="Calibri" w:hAnsi="Calibri"/>
          <w:b/>
          <w:i w:val="0"/>
          <w:color w:val="1D3B34"/>
          <w:sz w:val="32"/>
          <w:u w:val="none"/>
        </w:rPr>
        <w:t>Inputs reference</w:t>
      </w:r>
      <w:bookmarkEnd w:id="104"/>
    </w:p>
    <w:p>
      <w:pPr>
        <w:spacing w:before="0" w:after="60" w:line="283" w:lineRule="auto"/>
      </w:pPr>
      <w:r>
        <w:rPr>
          <w:rFonts w:ascii="Calibri" w:hAnsi="Calibri"/>
          <w:b w:val="0"/>
          <w:i/>
          <w:color w:val="555555"/>
          <w:sz w:val="22"/>
          <w:u w:val="none"/>
        </w:rPr>
        <w:t>Column-level reference for the Inputs tab — the only tab you edit. Everything else in the workbook flows from here.</w:t>
      </w:r>
    </w:p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3F4F4A"/>
          <w:sz w:val="24"/>
          <w:u w:val="none"/>
        </w:rPr>
        <w:t>Section 1 — Members (rows 6–12)</w:t>
      </w:r>
    </w:p>
    <w:p>
      <w:pPr>
        <w:spacing w:before="0" w:after="60" w:line="283" w:lineRule="auto"/>
      </w:pPr>
      <w:r>
        <w:rPr>
          <w:rFonts w:ascii="Calibri" w:hAnsi="Calibri"/>
          <w:b w:val="0"/>
          <w:i w:val="0"/>
          <w:sz w:val="21"/>
          <w:u w:val="none"/>
        </w:rPr>
        <w:t>Up to four members. Edit columns A (label, free text) and B (TSB, dollars). Three derived columns are read-only: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1"/>
          <w:u w:val="none"/>
        </w:rPr>
        <w:t>Split %</w:t>
      </w:r>
      <w:r>
        <w:rPr>
          <w:rFonts w:ascii="Calibri" w:hAnsi="Calibri"/>
          <w:b w:val="0"/>
          <w:i w:val="0"/>
          <w:sz w:val="21"/>
          <w:u w:val="none"/>
        </w:rPr>
        <w:t xml:space="preserve"> — TSB ÷ total fund TSB.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1"/>
          <w:u w:val="none"/>
        </w:rPr>
        <w:t>Band 1 (3m–10m)</w:t>
      </w:r>
      <w:r>
        <w:rPr>
          <w:rFonts w:ascii="Calibri" w:hAnsi="Calibri"/>
          <w:b w:val="0"/>
          <w:i w:val="0"/>
          <w:sz w:val="21"/>
          <w:u w:val="none"/>
        </w:rPr>
        <w:t xml:space="preserve"> — MAX(0, MIN(TSB, $10m) − $3m) ÷ TSB. Taxed at 15%.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1"/>
          <w:u w:val="none"/>
        </w:rPr>
        <w:t>Band 2 (&gt; 10m)</w:t>
      </w:r>
      <w:r>
        <w:rPr>
          <w:rFonts w:ascii="Calibri" w:hAnsi="Calibri"/>
          <w:b w:val="0"/>
          <w:i w:val="0"/>
          <w:sz w:val="21"/>
          <w:u w:val="none"/>
        </w:rPr>
        <w:t xml:space="preserve"> — MAX(0, TSB − $10m) ÷ TSB. Taxed at 25%.</w:t>
      </w:r>
    </w:p>
    <w:p>
      <w:pPr>
        <w:spacing w:before="0" w:after="60" w:line="283" w:lineRule="auto"/>
      </w:pPr>
      <w:r>
        <w:rPr>
          <w:rFonts w:ascii="Calibri" w:hAnsi="Calibri"/>
          <w:b w:val="0"/>
          <w:i w:val="0"/>
          <w:sz w:val="21"/>
          <w:u w:val="none"/>
        </w:rPr>
        <w:t>Traffic-light banner above the Members table reads green (no Div 296), amber ($3m–$10m), or deep amber (above $10m). Use it as the applicability check before reading any other number.</w:t>
      </w:r>
    </w:p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3F4F4A"/>
          <w:sz w:val="24"/>
          <w:u w:val="none"/>
        </w:rPr>
        <w:t>Section 2 — Asset register (rows 15–65, 50 rows)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1D3B34"/>
          </w:tcPr>
          <w:p>
            <w:r/>
            <w:r>
              <w:rPr>
                <w:rFonts w:ascii="Calibri" w:hAnsi="Calibri"/>
                <w:b/>
                <w:i w:val="0"/>
                <w:sz w:val="19"/>
                <w:u w:val="none"/>
              </w:rPr>
              <w:t>Col</w:t>
            </w:r>
          </w:p>
        </w:tc>
        <w:tc>
          <w:tcPr>
            <w:tcW w:type="dxa" w:w="3475"/>
            <w:shd w:val="clear" w:color="auto" w:fill="1D3B34"/>
          </w:tcPr>
          <w:p>
            <w:r/>
            <w:r>
              <w:rPr>
                <w:rFonts w:ascii="Calibri" w:hAnsi="Calibri"/>
                <w:b/>
                <w:i w:val="0"/>
                <w:sz w:val="19"/>
                <w:u w:val="none"/>
              </w:rPr>
              <w:t>Header</w:t>
            </w:r>
          </w:p>
        </w:tc>
        <w:tc>
          <w:tcPr>
            <w:tcW w:type="dxa" w:w="3475"/>
            <w:shd w:val="clear" w:color="auto" w:fill="1D3B34"/>
          </w:tcPr>
          <w:p>
            <w:r/>
            <w:r>
              <w:rPr>
                <w:rFonts w:ascii="Calibri" w:hAnsi="Calibri"/>
                <w:b/>
                <w:i w:val="0"/>
                <w:sz w:val="19"/>
                <w:u w:val="none"/>
              </w:rPr>
              <w:t>Notes</w:t>
            </w:r>
          </w:p>
        </w:tc>
      </w:tr>
      <w:tr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</w:t>
            </w:r>
          </w:p>
        </w:tc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Asset code</w:t>
            </w:r>
          </w:p>
        </w:tc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Short identifier. Free text.</w:t>
            </w:r>
          </w:p>
        </w:tc>
      </w:tr>
      <w:tr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B</w:t>
            </w:r>
          </w:p>
        </w:tc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Asset name</w:t>
            </w:r>
          </w:p>
        </w:tc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Plain description (e.g. ‘Commercial property’).</w:t>
            </w:r>
          </w:p>
        </w:tc>
      </w:tr>
      <w:tr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C</w:t>
            </w:r>
          </w:p>
        </w:tc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Original cost base</w:t>
            </w:r>
          </w:p>
        </w:tc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Pre-reset cost base — used for ordinary CGT regardless of the reset election.</w:t>
            </w:r>
          </w:p>
        </w:tc>
      </w:tr>
      <w:tr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D</w:t>
            </w:r>
          </w:p>
        </w:tc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Current market value</w:t>
            </w:r>
          </w:p>
        </w:tc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Context only; not used in tax calcs. Useful sanity-check for reviewers.</w:t>
            </w:r>
          </w:p>
        </w:tc>
      </w:tr>
      <w:tr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E</w:t>
            </w:r>
          </w:p>
        </w:tc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Market value at 30 Jun 2026</w:t>
            </w:r>
          </w:p>
        </w:tc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Load-bearing. Becomes the Div 296 cost base under the reset scenario. Garbage in, garbage out.</w:t>
            </w:r>
          </w:p>
        </w:tc>
      </w:tr>
      <w:tr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F</w:t>
            </w:r>
          </w:p>
        </w:tc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Valuation source / date</w:t>
            </w:r>
          </w:p>
        </w:tc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Free text. Mirrored verbatim into the Notes valuation log for audit trail.</w:t>
            </w:r>
          </w:p>
        </w:tc>
      </w:tr>
      <w:tr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G</w:t>
            </w:r>
          </w:p>
        </w:tc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Projected sale proceeds</w:t>
            </w:r>
          </w:p>
        </w:tc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Expected cash on disposal. Blank = row excluded from totals (the amber tripwire fires).</w:t>
            </w:r>
          </w:p>
        </w:tc>
      </w:tr>
      <w:tr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H</w:t>
            </w:r>
          </w:p>
        </w:tc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Projected gain/loss</w:t>
            </w:r>
          </w:p>
        </w:tc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Locked formula = proceeds − original cost base. Do not edit.</w:t>
            </w:r>
          </w:p>
        </w:tc>
      </w:tr>
      <w:tr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I</w:t>
            </w:r>
          </w:p>
        </w:tc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Held &gt; 12 months?</w:t>
            </w:r>
          </w:p>
        </w:tc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Yes / No dropdown. Drives the 1/3 CGT discount under s115-100 ITAA 1997.</w:t>
            </w:r>
          </w:p>
        </w:tc>
      </w:tr>
    </w:tbl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3F4F4A"/>
          <w:sz w:val="24"/>
          <w:u w:val="none"/>
        </w:rPr>
        <w:t>Section 3 — Advanced assumptions (rows 67–75)</w:t>
      </w:r>
    </w:p>
    <w:p>
      <w:pPr>
        <w:spacing w:before="0" w:after="60" w:line="283" w:lineRule="auto"/>
      </w:pPr>
      <w:r>
        <w:rPr>
          <w:rFonts w:ascii="Calibri" w:hAnsi="Calibri"/>
          <w:b w:val="0"/>
          <w:i w:val="0"/>
          <w:sz w:val="21"/>
          <w:u w:val="none"/>
        </w:rPr>
        <w:t>Eight named-range cells that feed every downstream formula. Touch only if the ATO publishes a change. Defaults match the enacted law at the build date: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  <w:u w:val="none"/>
        </w:rPr>
        <w:t>rate_tier1 = 15% (slice $3m–$10m).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  <w:u w:val="none"/>
        </w:rPr>
        <w:t>rate_tier2 = 25% (slice above $10m).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  <w:u w:val="none"/>
        </w:rPr>
        <w:t>threshold_1 = $3,000,000 · threshold_2 = $10,000,000.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  <w:u w:val="none"/>
        </w:rPr>
        <w:t>discount_rate = 1/3 (s115-100 ITAA 1997).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  <w:u w:val="none"/>
        </w:rPr>
        <w:t>fund_cgt_rate = 15% (accumulation phase).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  <w:u w:val="none"/>
        </w:rPr>
        <w:t>indexation_increment_1 / _2 (forward-modelling only — not applied to Year 1).</w:t>
      </w:r>
    </w:p>
    <w:p>
      <w:pPr>
        <w:spacing w:before="0" w:after="0"/>
      </w:pPr>
      <w:r>
        <w:br w:type="page"/>
      </w:r>
    </w:p>
    <w:p>
      <w:bookmarkStart w:id="105" w:name="qs_analyser"/>
      <w:pPr>
        <w:pStyle w:val="Heading1"/>
        <w:spacing w:before="120" w:after="60"/>
        <w:pBdr>
          <w:left w:val="single" w:sz="32" w:space="8" w:color="3F4F4A"/>
        </w:pBdr>
      </w:pPr>
      <w:r>
        <w:rPr>
          <w:rFonts w:ascii="Calibri" w:hAnsi="Calibri"/>
          <w:b/>
          <w:i w:val="0"/>
          <w:color w:val="3F4F4A"/>
          <w:sz w:val="32"/>
          <w:u w:val="none"/>
        </w:rPr>
        <w:t>Reading the Analyser</w:t>
      </w:r>
      <w:bookmarkEnd w:id="105"/>
    </w:p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3F4F4A"/>
          <w:sz w:val="24"/>
          <w:u w:val="none"/>
        </w:rPr>
        <w:t>Fund summary (rows 6–13)</w:t>
      </w:r>
    </w:p>
    <w:p>
      <w:pPr>
        <w:spacing w:before="0" w:after="60" w:line="283" w:lineRule="auto"/>
      </w:pPr>
      <w:r>
        <w:rPr>
          <w:rFonts w:ascii="Calibri" w:hAnsi="Calibri"/>
          <w:b w:val="0"/>
          <w:i w:val="0"/>
          <w:sz w:val="21"/>
          <w:u w:val="none"/>
        </w:rPr>
        <w:t>Side by side: If no reset · If elected · Difference. Bottom row (‘Total Div 296 tax’) is the headline. The Difference column is signed; negative (green) = reset saves tax, positive (red) = reset costs more tax.</w:t>
      </w:r>
    </w:p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3F4F4A"/>
          <w:sz w:val="24"/>
          <w:u w:val="none"/>
        </w:rPr>
        <w:t>Per-asset analysis (rows 15–67)</w:t>
      </w:r>
    </w:p>
    <w:p>
      <w:pPr>
        <w:spacing w:before="0" w:after="60" w:line="283" w:lineRule="auto"/>
      </w:pPr>
      <w:r>
        <w:rPr>
          <w:rFonts w:ascii="Calibri" w:hAnsi="Calibri"/>
          <w:b w:val="0"/>
          <w:i w:val="0"/>
          <w:sz w:val="21"/>
          <w:u w:val="none"/>
        </w:rPr>
        <w:t>Always reflects the elected-reset scenario. Most-read columns:</w:t>
      </w:r>
    </w:p>
    <w:p>
      <w:bookmarkStart w:id="106" w:name="qs_perasset"/>
      <w:pPr>
        <w:spacing w:before="0" w:after="60"/>
      </w:pPr>
      <w:bookmarkEnd w:id="106"/>
    </w:p>
    <w:p>
      <w:pPr>
        <w:pStyle w:val="ListBullet"/>
        <w:spacing w:after="20"/>
      </w:pPr>
      <w:r>
        <w:rPr>
          <w:rFonts w:ascii="Calibri" w:hAnsi="Calibri"/>
          <w:b/>
          <w:i w:val="0"/>
          <w:sz w:val="21"/>
          <w:u w:val="none"/>
        </w:rPr>
        <w:t>K — Div 296 tax</w:t>
      </w:r>
      <w:r>
        <w:rPr>
          <w:rFonts w:ascii="Calibri" w:hAnsi="Calibri"/>
          <w:b w:val="0"/>
          <w:i w:val="0"/>
          <w:sz w:val="21"/>
          <w:u w:val="none"/>
        </w:rPr>
        <w:t xml:space="preserve"> — Authoritative per-asset Div 296 tax (pro-rata of the elected-reset headline).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1"/>
          <w:u w:val="none"/>
        </w:rPr>
        <w:t>L — Reset impact</w:t>
      </w:r>
      <w:r>
        <w:rPr>
          <w:rFonts w:ascii="Calibri" w:hAnsi="Calibri"/>
          <w:b w:val="0"/>
          <w:i w:val="0"/>
          <w:sz w:val="21"/>
          <w:u w:val="none"/>
        </w:rPr>
        <w:t xml:space="preserve"> — Signed delta. Negative = reset reduces this asset's Div 296 burden. Positive = reset-trap candidate.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1"/>
          <w:u w:val="none"/>
        </w:rPr>
        <w:t>E, G — Ord gross gain / Ord CGT (info only)</w:t>
      </w:r>
      <w:r>
        <w:rPr>
          <w:rFonts w:ascii="Calibri" w:hAnsi="Calibri"/>
          <w:b w:val="0"/>
          <w:i w:val="0"/>
          <w:sz w:val="21"/>
          <w:u w:val="none"/>
        </w:rPr>
        <w:t xml:space="preserve"> — Greyed. Do NOT sum to the fund Ord CGT because s102-5 capital-loss netting happens at the fund level, not per asset. Read the Reconciliation panel for the authoritative number.</w:t>
      </w:r>
    </w:p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3F4F4A"/>
          <w:sz w:val="24"/>
          <w:u w:val="none"/>
        </w:rPr>
        <w:t>Reconciliation (rows 70–74)</w:t>
      </w:r>
    </w:p>
    <w:p>
      <w:bookmarkStart w:id="107" w:name="qs_recon"/>
      <w:pPr>
        <w:spacing w:before="0" w:after="60"/>
      </w:pPr>
      <w:bookmarkEnd w:id="107"/>
      <w:r>
        <w:rPr>
          <w:rFonts w:ascii="Calibri" w:hAnsi="Calibri"/>
          <w:b w:val="0"/>
          <w:i w:val="0"/>
          <w:sz w:val="21"/>
          <w:u w:val="none"/>
        </w:rPr>
        <w:t>Authoritative fund-level totals: ordinary CGT after intra-year capital-loss netting (s102-5 method, then s115-100 1/3 discount on the discountable residue), Division 296 tax payable, and any current-year net unused capital loss carried forward.</w:t>
      </w:r>
    </w:p>
    <w:p>
      <w:bookmarkStart w:id="108" w:name="qs_comparison"/>
      <w:pPr>
        <w:pStyle w:val="Heading1"/>
        <w:spacing w:before="120" w:after="60"/>
        <w:pBdr>
          <w:left w:val="single" w:sz="32" w:space="8" w:color="8B4A1E"/>
        </w:pBdr>
      </w:pPr>
      <w:r>
        <w:rPr>
          <w:rFonts w:ascii="Calibri" w:hAnsi="Calibri"/>
          <w:b/>
          <w:i w:val="0"/>
          <w:color w:val="8B4A1E"/>
          <w:sz w:val="32"/>
          <w:u w:val="none"/>
        </w:rPr>
        <w:t>Comparison tearsheet</w:t>
      </w:r>
      <w:bookmarkEnd w:id="108"/>
    </w:p>
    <w:p>
      <w:pPr>
        <w:spacing w:before="0" w:after="60" w:line="283" w:lineRule="auto"/>
      </w:pPr>
      <w:r>
        <w:rPr>
          <w:rFonts w:ascii="Calibri" w:hAnsi="Calibri"/>
          <w:b w:val="0"/>
          <w:i w:val="0"/>
          <w:sz w:val="21"/>
          <w:u w:val="none"/>
        </w:rPr>
        <w:t>Print-ready landscape A4. Use as a client meeting handout or file note without editing. Order top to bottom: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  <w:u w:val="none"/>
        </w:rPr>
        <w:t>Header strip — fund, prepared by, date, version.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  <w:u w:val="none"/>
        </w:rPr>
        <w:t>Members &amp; TSB strip.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  <w:u w:val="none"/>
        </w:rPr>
        <w:t>Headline cards — Div 296 tax under each scenario plus signed net effect.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  <w:u w:val="none"/>
        </w:rPr>
        <w:t>Per-scenario subtotals — Earnings, Ord CGT (unchanged), Div 296 tax, Total burden.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  <w:u w:val="none"/>
        </w:rPr>
        <w:t>Per-member breakdown — TSB and Div 296 tax for both scenarios.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  <w:u w:val="none"/>
        </w:rPr>
        <w:t>Per-asset detail — top 10 by |Δ Div 296 tax|. Overflow note points at the Analyser for the full register.</w:t>
      </w:r>
    </w:p>
    <w:p>
      <w:pPr>
        <w:spacing w:before="0" w:after="0"/>
      </w:pPr>
      <w:r>
        <w:br w:type="page"/>
      </w:r>
    </w:p>
    <w:p>
      <w:bookmarkStart w:id="109" w:name="qs_caveats"/>
      <w:pPr>
        <w:pStyle w:val="Heading1"/>
        <w:spacing w:before="120" w:after="60"/>
        <w:pBdr>
          <w:left w:val="single" w:sz="32" w:space="8" w:color="8A6D00"/>
        </w:pBdr>
      </w:pPr>
      <w:r>
        <w:rPr>
          <w:rFonts w:ascii="Calibri" w:hAnsi="Calibri"/>
          <w:b/>
          <w:i w:val="0"/>
          <w:color w:val="8A6D00"/>
          <w:sz w:val="32"/>
          <w:u w:val="none"/>
        </w:rPr>
        <w:t>Caveats</w:t>
      </w:r>
      <w:bookmarkEnd w:id="109"/>
    </w:p>
    <w:p>
      <w:pPr>
        <w:spacing w:before="0" w:after="60" w:line="283" w:lineRule="auto"/>
      </w:pPr>
      <w:r>
        <w:rPr>
          <w:rFonts w:ascii="Calibri" w:hAnsi="Calibri"/>
          <w:b w:val="0"/>
          <w:i/>
          <w:color w:val="555555"/>
          <w:sz w:val="22"/>
          <w:u w:val="none"/>
        </w:rPr>
        <w:t>Hold these in mind whenever you read a figure. They are material and several work in opposing directions.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1"/>
          <w:u w:val="none"/>
        </w:rPr>
        <w:t>Prior-year carry-forward capital losses are NOT modelled.</w:t>
      </w:r>
      <w:r>
        <w:rPr>
          <w:rFonts w:ascii="Calibri" w:hAnsi="Calibri"/>
          <w:b w:val="0"/>
          <w:i w:val="0"/>
          <w:sz w:val="21"/>
          <w:u w:val="none"/>
        </w:rPr>
        <w:t xml:space="preserve"> — Apply any prior-year carry-forward outside the model.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1"/>
          <w:u w:val="none"/>
        </w:rPr>
        <w:t>Pension phase is NOT modelled.</w:t>
      </w:r>
      <w:r>
        <w:rPr>
          <w:rFonts w:ascii="Calibri" w:hAnsi="Calibri"/>
          <w:b w:val="0"/>
          <w:i w:val="0"/>
          <w:sz w:val="21"/>
          <w:u w:val="none"/>
        </w:rPr>
        <w:t xml:space="preserve"> — Assumes 100% accumulation phase. Overstates ordinary CGT for funds with pension members.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1"/>
          <w:u w:val="none"/>
        </w:rPr>
        <w:t>Reset-OFF scenario is realised-only.</w:t>
      </w:r>
      <w:r>
        <w:rPr>
          <w:rFonts w:ascii="Calibri" w:hAnsi="Calibri"/>
          <w:b w:val="0"/>
          <w:i w:val="0"/>
          <w:sz w:val="21"/>
          <w:u w:val="none"/>
        </w:rPr>
        <w:t xml:space="preserve"> — Under enacted Division 296, no-reset earnings are assessed on year-on-year TSB movement (realised + unrealised). Comparison understates the no-reset burden.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1"/>
          <w:u w:val="none"/>
        </w:rPr>
        <w:t>Multi-member splits are TSB-proportional.</w:t>
      </w:r>
      <w:r>
        <w:rPr>
          <w:rFonts w:ascii="Calibri" w:hAnsi="Calibri"/>
          <w:b w:val="0"/>
          <w:i w:val="0"/>
          <w:sz w:val="21"/>
          <w:u w:val="none"/>
        </w:rPr>
        <w:t xml:space="preserve"> — Real funds use an actuarial certificate on time-weighted balances.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1"/>
          <w:u w:val="none"/>
        </w:rPr>
        <w:t>Wash sale / Part IVA risk.</w:t>
      </w:r>
      <w:r>
        <w:rPr>
          <w:rFonts w:ascii="Calibri" w:hAnsi="Calibri"/>
          <w:b w:val="0"/>
          <w:i w:val="0"/>
          <w:sz w:val="21"/>
          <w:u w:val="none"/>
        </w:rPr>
        <w:t xml:space="preserve"> — Pre-30 June 2026 disposals undertaken purely for tax outcome sit in anti-avoidance territory (TR 2008/1, Part IVA).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1"/>
          <w:u w:val="none"/>
        </w:rPr>
        <w:t>Transaction costs not modelled.</w:t>
      </w:r>
      <w:r>
        <w:rPr>
          <w:rFonts w:ascii="Calibri" w:hAnsi="Calibri"/>
          <w:b w:val="0"/>
          <w:i w:val="0"/>
          <w:sz w:val="21"/>
          <w:u w:val="none"/>
        </w:rPr>
        <w:t xml:space="preserve"> — Brokerage, stamp duty, liquidity drag, market-timing risk excluded.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1"/>
          <w:u w:val="none"/>
        </w:rPr>
        <w:t>Sheet protection is tamper-evident, not tamper-proof.</w:t>
      </w:r>
      <w:r>
        <w:rPr>
          <w:rFonts w:ascii="Calibri" w:hAnsi="Calibri"/>
          <w:b w:val="0"/>
          <w:i w:val="0"/>
          <w:sz w:val="21"/>
          <w:u w:val="none"/>
        </w:rPr>
        <w:t xml:space="preserve"> — Protection (where applied) is passwordless.</w:t>
      </w:r>
    </w:p>
    <w:p>
      <w:bookmarkStart w:id="110" w:name="qs_troubleshooting"/>
      <w:pPr>
        <w:pStyle w:val="Heading1"/>
        <w:spacing w:before="120" w:after="60"/>
        <w:pBdr>
          <w:left w:val="single" w:sz="32" w:space="8" w:color="A61B1B"/>
        </w:pBdr>
      </w:pPr>
      <w:r>
        <w:rPr>
          <w:rFonts w:ascii="Calibri" w:hAnsi="Calibri"/>
          <w:b/>
          <w:i w:val="0"/>
          <w:color w:val="A61B1B"/>
          <w:sz w:val="32"/>
          <w:u w:val="none"/>
        </w:rPr>
        <w:t>Troubleshooting</w:t>
      </w:r>
      <w:bookmarkEnd w:id="110"/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A61B1B"/>
          </w:tcPr>
          <w:p>
            <w:r/>
            <w:r>
              <w:rPr>
                <w:rFonts w:ascii="Calibri" w:hAnsi="Calibri"/>
                <w:b/>
                <w:i w:val="0"/>
                <w:sz w:val="19"/>
                <w:u w:val="none"/>
              </w:rPr>
              <w:t>You see</w:t>
            </w:r>
          </w:p>
        </w:tc>
        <w:tc>
          <w:tcPr>
            <w:tcW w:type="dxa" w:w="3475"/>
            <w:shd w:val="clear" w:color="auto" w:fill="A61B1B"/>
          </w:tcPr>
          <w:p>
            <w:r/>
            <w:r>
              <w:rPr>
                <w:rFonts w:ascii="Calibri" w:hAnsi="Calibri"/>
                <w:b/>
                <w:i w:val="0"/>
                <w:sz w:val="19"/>
                <w:u w:val="none"/>
              </w:rPr>
              <w:t>What it means</w:t>
            </w:r>
          </w:p>
        </w:tc>
        <w:tc>
          <w:tcPr>
            <w:tcW w:type="dxa" w:w="3475"/>
            <w:shd w:val="clear" w:color="auto" w:fill="A61B1B"/>
          </w:tcPr>
          <w:p>
            <w:r/>
            <w:r>
              <w:rPr>
                <w:rFonts w:ascii="Calibri" w:hAnsi="Calibri"/>
                <w:b/>
                <w:i w:val="0"/>
                <w:sz w:val="19"/>
                <w:u w:val="none"/>
              </w:rPr>
              <w:t>Do this</w:t>
            </w:r>
          </w:p>
        </w:tc>
      </w:tr>
      <w:tr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Yellow ‘Sample data preloaded’ badge persists.</w:t>
            </w:r>
          </w:p>
        </w:tc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Sample input (P1/S1/L1 codes or seeded TSBs) still present.</w:t>
            </w:r>
          </w:p>
        </w:tc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Overwrite every sample cell on Inputs; badge clears automatically.</w:t>
            </w:r>
          </w:p>
        </w:tc>
      </w:tr>
      <w:tr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Red banner: proceeds without 30 Jun 2026 value.</w:t>
            </w:r>
          </w:p>
        </w:tc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Those rows are excluded from every figure.</w:t>
            </w:r>
          </w:p>
        </w:tc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Fill column E, or clear column G.</w:t>
            </w:r>
          </w:p>
        </w:tc>
      </w:tr>
      <w:tr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Red banner: formulas in the register.</w:t>
            </w:r>
          </w:p>
        </w:tc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 non-values paste left live formulas in register cells.</w:t>
            </w:r>
          </w:p>
        </w:tc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Press Ctrl+Z to undo, then Paste-Special &gt; Values.</w:t>
            </w:r>
          </w:p>
        </w:tc>
      </w:tr>
      <w:tr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TSB diagnostic banner is deep amber.</w:t>
            </w:r>
          </w:p>
        </w:tc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At least one member's TSB exceeds $10m — 25% above-$10m tier applies.</w:t>
            </w:r>
          </w:p>
        </w:tc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Read Comparison tearsheet for the modelled impact. No input change.</w:t>
            </w:r>
          </w:p>
        </w:tc>
      </w:tr>
      <w:tr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Per-asset Ord CGT (col G) doesn't sum to Reconciliation Ord CGT.</w:t>
            </w:r>
          </w:p>
        </w:tc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Correct behaviour. Loss-netting at fund level (s102-5), not per asset.</w:t>
            </w:r>
          </w:p>
        </w:tc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Rely on Reconciliation for the authoritative figure.</w:t>
            </w:r>
          </w:p>
        </w:tc>
      </w:tr>
    </w:tbl>
    <w:p>
      <w:pPr>
        <w:spacing w:before="0" w:after="0"/>
      </w:pPr>
      <w:r>
        <w:br w:type="page"/>
      </w:r>
    </w:p>
    <w:p>
      <w:bookmarkStart w:id="111" w:name="qs_cheatsheet"/>
      <w:pPr>
        <w:pStyle w:val="Heading1"/>
        <w:spacing w:before="120" w:after="60"/>
        <w:pBdr>
          <w:left w:val="single" w:sz="32" w:space="8" w:color="1D3B34"/>
        </w:pBdr>
      </w:pPr>
      <w:r>
        <w:rPr>
          <w:rFonts w:ascii="Calibri" w:hAnsi="Calibri"/>
          <w:b/>
          <w:i w:val="0"/>
          <w:color w:val="1D3B34"/>
          <w:sz w:val="32"/>
          <w:u w:val="none"/>
        </w:rPr>
        <w:t>Cheat sheet</w:t>
      </w:r>
      <w:bookmarkEnd w:id="111"/>
    </w:p>
    <w:p>
      <w:pPr>
        <w:spacing w:before="0" w:after="60" w:line="283" w:lineRule="auto"/>
      </w:pPr>
      <w:r>
        <w:rPr>
          <w:rFonts w:ascii="Calibri" w:hAnsi="Calibri"/>
          <w:b w:val="0"/>
          <w:i/>
          <w:color w:val="555555"/>
          <w:sz w:val="22"/>
          <w:u w:val="none"/>
        </w:rPr>
        <w:t>Tear-off reference. Keep next to the workbook.</w:t>
      </w:r>
    </w:p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3F4F4A"/>
          <w:sz w:val="24"/>
          <w:u w:val="none"/>
        </w:rPr>
        <w:t>Inputs columns at a glance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  <w:u w:val="none"/>
        </w:rPr>
        <w:t>A · Asset code (free text)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  <w:u w:val="none"/>
        </w:rPr>
        <w:t>B · Asset name (free text)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  <w:u w:val="none"/>
        </w:rPr>
        <w:t>C · Original cost base (ordinary CGT basis — unchanged by reset)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  <w:u w:val="none"/>
        </w:rPr>
        <w:t>D · Current market value (context only)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  <w:u w:val="none"/>
        </w:rPr>
        <w:t>E · Market value at 30 Jun 2026 (load-bearing — Div 296 basis under reset)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  <w:u w:val="none"/>
        </w:rPr>
        <w:t>F · Valuation source / date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  <w:u w:val="none"/>
        </w:rPr>
        <w:t>G · Projected sale proceeds (blank → row excluded)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  <w:u w:val="none"/>
        </w:rPr>
        <w:t>H · Projected gain/loss (locked formula — do not edit)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  <w:u w:val="none"/>
        </w:rPr>
        <w:t>I · Held &gt; 12 months? (drives 1/3 CGT discount)</w:t>
      </w:r>
    </w:p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3F4F4A"/>
          <w:sz w:val="24"/>
          <w:u w:val="none"/>
        </w:rPr>
        <w:t>Banners — colour, meaning, action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</w:tcPr>
          <w:p>
            <w:r/>
            <w:r>
              <w:rPr>
                <w:rFonts w:ascii="Calibri" w:hAnsi="Calibri"/>
                <w:b/>
                <w:i w:val="0"/>
                <w:sz w:val="19"/>
                <w:u w:val="none"/>
              </w:rPr>
              <w:t>Colour</w:t>
            </w:r>
          </w:p>
        </w:tc>
        <w:tc>
          <w:tcPr>
            <w:tcW w:type="dxa" w:w="3475"/>
          </w:tcPr>
          <w:p>
            <w:r/>
            <w:r>
              <w:rPr>
                <w:rFonts w:ascii="Calibri" w:hAnsi="Calibri"/>
                <w:b/>
                <w:i w:val="0"/>
                <w:sz w:val="19"/>
                <w:u w:val="none"/>
              </w:rPr>
              <w:t>Means</w:t>
            </w:r>
          </w:p>
        </w:tc>
        <w:tc>
          <w:tcPr>
            <w:tcW w:type="dxa" w:w="3475"/>
          </w:tcPr>
          <w:p>
            <w:r/>
            <w:r>
              <w:rPr>
                <w:rFonts w:ascii="Calibri" w:hAnsi="Calibri"/>
                <w:b/>
                <w:i w:val="0"/>
                <w:sz w:val="19"/>
                <w:u w:val="none"/>
              </w:rPr>
              <w:t>Do this</w:t>
            </w:r>
          </w:p>
        </w:tc>
      </w:tr>
      <w:tr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Yellow</w:t>
            </w:r>
          </w:p>
        </w:tc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Sample data still loaded.</w:t>
            </w:r>
          </w:p>
        </w:tc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Overwrite every sample cell.</w:t>
            </w:r>
          </w:p>
        </w:tc>
      </w:tr>
      <w:tr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Red</w:t>
            </w:r>
          </w:p>
        </w:tc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Formulas in register (Ctrl+V used).</w:t>
            </w:r>
          </w:p>
        </w:tc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Ctrl+Z, Paste-Special &gt; Values.</w:t>
            </w:r>
          </w:p>
        </w:tc>
      </w:tr>
      <w:tr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Red</w:t>
            </w:r>
          </w:p>
        </w:tc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Proceeds without 30 Jun 2026 value.</w:t>
            </w:r>
          </w:p>
        </w:tc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Fill col E or clear col G.</w:t>
            </w:r>
          </w:p>
        </w:tc>
      </w:tr>
      <w:tr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Amber</w:t>
            </w:r>
          </w:p>
        </w:tc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TSB &gt; $10m — 25% tier applies.</w:t>
            </w:r>
          </w:p>
        </w:tc>
        <w:tc>
          <w:tcPr>
            <w:tcW w:type="dxa" w:w="3475"/>
          </w:tcPr>
          <w:p>
            <w:r/>
            <w:r>
              <w:rPr>
                <w:rFonts w:ascii="Calibri" w:hAnsi="Calibri"/>
                <w:b w:val="0"/>
                <w:i w:val="0"/>
                <w:sz w:val="19"/>
                <w:u w:val="none"/>
              </w:rPr>
              <w:t>No action; read Comparison.</w:t>
            </w:r>
          </w:p>
        </w:tc>
      </w:tr>
    </w:tbl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3F4F4A"/>
          <w:sz w:val="24"/>
          <w:u w:val="none"/>
        </w:rPr>
        <w:t>Keyboard tricks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0"/>
          <w:u w:val="none"/>
        </w:rPr>
        <w:t>Paste-Special &gt; Values</w:t>
      </w:r>
      <w:r>
        <w:rPr>
          <w:rFonts w:ascii="Calibri" w:hAnsi="Calibri"/>
          <w:b w:val="0"/>
          <w:i w:val="0"/>
          <w:sz w:val="20"/>
          <w:u w:val="none"/>
        </w:rPr>
        <w:t xml:space="preserve"> — Ctrl+Alt+V then V — the only safe way to paste into the register.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0"/>
          <w:u w:val="none"/>
        </w:rPr>
        <w:t>Undo</w:t>
      </w:r>
      <w:r>
        <w:rPr>
          <w:rFonts w:ascii="Calibri" w:hAnsi="Calibri"/>
          <w:b w:val="0"/>
          <w:i w:val="0"/>
          <w:sz w:val="20"/>
          <w:u w:val="none"/>
        </w:rPr>
        <w:t xml:space="preserve"> — Ctrl+Z — recovers from a bad paste.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0"/>
          <w:u w:val="none"/>
        </w:rPr>
        <w:t>Word Navigation Pane</w:t>
      </w:r>
      <w:r>
        <w:rPr>
          <w:rFonts w:ascii="Calibri" w:hAnsi="Calibri"/>
          <w:b w:val="0"/>
          <w:i w:val="0"/>
          <w:sz w:val="20"/>
          <w:u w:val="none"/>
        </w:rPr>
        <w:t xml:space="preserve"> — Ctrl+F1 (this guide) → View → Navigation Pane.</w:t>
      </w:r>
    </w:p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3F4F4A"/>
          <w:sz w:val="24"/>
          <w:u w:val="none"/>
        </w:rPr>
        <w:t>Where the headline lives</w:t>
      </w:r>
    </w:p>
    <w:p>
      <w:pPr>
        <w:spacing w:before="0" w:after="60" w:line="283" w:lineRule="auto"/>
      </w:pPr>
      <w:r>
        <w:rPr>
          <w:rFonts w:ascii="Calibri" w:hAnsi="Calibri"/>
          <w:b w:val="0"/>
          <w:i w:val="0"/>
          <w:sz w:val="20"/>
          <w:u w:val="none"/>
        </w:rPr>
        <w:t>Comparison tab → Headline cards at the top. Three numbers: If no reset · If elected · Net effect (signed).</w:t>
      </w:r>
    </w:p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3F4F4A"/>
          <w:sz w:val="24"/>
          <w:u w:val="none"/>
        </w:rPr>
        <w:t>Five caveats that change numbers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  <w:u w:val="none"/>
        </w:rPr>
        <w:t>Prior-year carry-forward losses — apply outside the model.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  <w:u w:val="none"/>
        </w:rPr>
        <w:t>Pension phase — not modelled (model overstates Ord CGT for pension members).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  <w:u w:val="none"/>
        </w:rPr>
        <w:t>No-reset is realised-only — understates no-reset Div 296 burden.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  <w:u w:val="none"/>
        </w:rPr>
        <w:t>Multi-member split is TSB-proportional, not actuarial.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  <w:u w:val="none"/>
        </w:rPr>
        <w:t>Transaction costs (brokerage, stamp duty, liquidity) excluded.</w:t>
      </w:r>
    </w:p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3F4F4A"/>
          <w:sz w:val="24"/>
          <w:u w:val="none"/>
        </w:rPr>
        <w:t>Verifying the version</w:t>
      </w:r>
    </w:p>
    <w:p>
      <w:pPr>
        <w:spacing w:before="0" w:after="60" w:line="283" w:lineRule="auto"/>
      </w:pPr>
      <w:r>
        <w:rPr>
          <w:rFonts w:ascii="Calibri" w:hAnsi="Calibri"/>
          <w:b w:val="0"/>
          <w:i w:val="0"/>
          <w:sz w:val="20"/>
          <w:u w:val="none"/>
        </w:rPr>
        <w:t>Notes tab → unhide the rows immediately below the valuation log to see build_version, build_date, git_short_sha.</w:t>
      </w:r>
    </w:p>
    <w:sectPr w:rsidR="00FC693F" w:rsidRPr="0006063C" w:rsidSect="00034616">
      <w:headerReference w:type="default" r:id="rId9"/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/>
        <w:color w:val="555555"/>
        <w:sz w:val="16"/>
        <w:u w:val="none"/>
      </w:rPr>
      <w:t>Adviser Edition  ·  v3.4.0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