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D3B34"/>
          <w:sz w:val="36"/>
        </w:rPr>
        <w:t>Division 296 Cost Base Reset Model</w:t>
      </w:r>
    </w:p>
    <w:p>
      <w:pPr>
        <w:spacing w:before="0" w:after="40"/>
      </w:pPr>
      <w:r>
        <w:rPr>
          <w:rFonts w:ascii="Calibri" w:hAnsi="Calibri"/>
          <w:b/>
          <w:i w:val="0"/>
          <w:color w:val="3F4F4A"/>
          <w:sz w:val="22"/>
        </w:rPr>
        <w:t>Adviser Edition</w:t>
      </w:r>
      <w:r>
        <w:rPr>
          <w:rFonts w:ascii="Calibri" w:hAnsi="Calibri"/>
          <w:b w:val="0"/>
          <w:i w:val="0"/>
          <w:color w:val="555555"/>
          <w:sz w:val="20"/>
        </w:rPr>
        <w:t xml:space="preserve">   ·   </w:t>
      </w:r>
      <w:r>
        <w:rPr>
          <w:rFonts w:ascii="Calibri" w:hAnsi="Calibri"/>
          <w:b w:val="0"/>
          <w:i w:val="0"/>
          <w:color w:val="555555"/>
          <w:sz w:val="20"/>
        </w:rPr>
        <w:t>v3.4.0</w:t>
      </w:r>
      <w:r>
        <w:rPr>
          <w:rFonts w:ascii="Calibri" w:hAnsi="Calibri"/>
          <w:b w:val="0"/>
          <w:i w:val="0"/>
          <w:color w:val="555555"/>
          <w:sz w:val="20"/>
        </w:rPr>
        <w:t xml:space="preserve">   ·   </w:t>
      </w:r>
      <w:r>
        <w:rPr>
          <w:rFonts w:ascii="Calibri" w:hAnsi="Calibri"/>
          <w:b w:val="0"/>
          <w:i/>
          <w:color w:val="555555"/>
          <w:sz w:val="20"/>
        </w:rPr>
        <w:t>Built 2026-06-22</w:t>
      </w:r>
      <w:r>
        <w:rPr>
          <w:rFonts w:ascii="Calibri" w:hAnsi="Calibri"/>
          <w:b w:val="0"/>
          <w:i w:val="0"/>
          <w:color w:val="555555"/>
          <w:sz w:val="20"/>
        </w:rPr>
        <w:t xml:space="preserve">   ·   </w:t>
      </w:r>
      <w:r>
        <w:rPr>
          <w:rFonts w:ascii="Calibri" w:hAnsi="Calibri"/>
          <w:b w:val="0"/>
          <w:i/>
          <w:color w:val="3F4F4A"/>
          <w:sz w:val="20"/>
        </w:rPr>
        <w:t>For SMSF advisers who don't use CLASS Super.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val="clear" w:color="auto" w:fill="1D3B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INPUTS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you edit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55555"/>
                <w:sz w:val="28"/>
              </w:rPr>
              <w:t>→</w:t>
            </w:r>
          </w:p>
        </w:tc>
        <w:tc>
          <w:tcPr>
            <w:tcW w:type="dxa" w:w="1522"/>
            <w:shd w:val="clear" w:color="auto" w:fill="3F4F4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ANALYSER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auto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55555"/>
                <w:sz w:val="28"/>
              </w:rPr>
              <w:t>→</w:t>
            </w:r>
          </w:p>
        </w:tc>
        <w:tc>
          <w:tcPr>
            <w:tcW w:type="dxa" w:w="1522"/>
            <w:shd w:val="clear" w:color="auto" w:fill="8B4A1E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COMPARISON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auto + print</w:t>
            </w:r>
          </w:p>
        </w:tc>
        <w:tc>
          <w:tcPr>
            <w:tcW w:type="dxa" w:w="1522"/>
          </w:tcPr>
          <w:p>
            <w:r/>
          </w:p>
        </w:tc>
        <w:tc>
          <w:tcPr>
            <w:tcW w:type="dxa" w:w="1522"/>
            <w:shd w:val="clear" w:color="auto" w:fill="8A6D0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FFFFFF"/>
                <w:sz w:val="15"/>
              </w:rPr>
              <w:t>reference</w:t>
            </w:r>
          </w:p>
        </w:tc>
      </w:tr>
    </w:tbl>
    <w:p>
      <w:bookmarkStart w:id="101" w:name="qs_quickstart"/>
      <w:pPr>
        <w:pStyle w:val="Heading1"/>
        <w:spacing w:before="80" w:after="4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28"/>
        </w:rPr>
        <w:t>Quick Start</w:t>
      </w:r>
      <w:bookmarkEnd w:id="101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1"/>
        </w:rPr>
        <w:t>Three steps. Five minutes. One headline number.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67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532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21"/>
              </w:rPr>
              <w:t>Inputs → Members.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Type each member's TSB into column B (rows 7–10). Split %, $3m–$10m band, and above-$10m band derive automatically.</w:t>
            </w:r>
          </w:p>
        </w:tc>
      </w:tr>
      <w:tr>
        <w:tc>
          <w:tcPr>
            <w:tcW w:type="dxa" w:w="567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532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21"/>
              </w:rPr>
              <w:t>Inputs → Asset register.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For each CGT asset held at 30 June 2026: original cost base (C), market value at 30 Jun 2026 (E), projected sale proceeds (G), held &gt; 12 months (I). Column H is locked — don't edit.</w:t>
            </w:r>
          </w:p>
        </w:tc>
      </w:tr>
      <w:tr>
        <w:tc>
          <w:tcPr>
            <w:tcW w:type="dxa" w:w="567"/>
            <w:shd w:val="clear" w:color="auto" w:fill="1D3B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5326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1D3B34"/>
                <w:sz w:val="21"/>
              </w:rPr>
              <w:t>Comparison tab.</w:t>
            </w:r>
          </w:p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sz w:val="20"/>
              </w:rPr>
              <w:t>Read the three headline cards: If no reset · If elected · Net effect. Negative net effect (green) = the reset saves Division 296 tax.</w:t>
            </w:r>
          </w:p>
        </w:tc>
      </w:tr>
    </w:tbl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Where the answer lives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Comparison tab → Headline cards. Three numbers: total Div 296 tax under each scenario plus the signed net effect. Negative (green) = reset saves tax. Positive (red) = ‘reset trap’ on unrealised-loss assets.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Two safety banners on Inputs</w:t>
      </w:r>
    </w:p>
    <w:p>
      <w:pPr>
        <w:spacing w:before="0" w:after="20"/>
      </w:pPr>
      <w:r>
        <w:rPr>
          <w:rFonts w:ascii="Calibri" w:hAnsi="Calibri"/>
          <w:b/>
          <w:i w:val="0"/>
          <w:color w:val="A61B1B"/>
          <w:sz w:val="20"/>
        </w:rPr>
        <w:t xml:space="preserve">Red — formulas in the register. </w:t>
      </w:r>
      <w:r>
        <w:rPr>
          <w:rFonts w:ascii="Calibri" w:hAnsi="Calibri"/>
          <w:b w:val="0"/>
          <w:i w:val="0"/>
          <w:sz w:val="20"/>
        </w:rPr>
        <w:t>You used Ctrl+V. Press Ctrl+Z, re-paste as Paste-Special &gt; Values.</w:t>
      </w:r>
    </w:p>
    <w:p>
      <w:pPr>
        <w:spacing w:before="0" w:after="20"/>
      </w:pPr>
      <w:r>
        <w:rPr>
          <w:rFonts w:ascii="Calibri" w:hAnsi="Calibri"/>
          <w:b/>
          <w:i w:val="0"/>
          <w:color w:val="A61B1B"/>
          <w:sz w:val="20"/>
        </w:rPr>
        <w:t xml:space="preserve">Red — proceeds without 30 Jun 2026 value. </w:t>
      </w:r>
      <w:r>
        <w:rPr>
          <w:rFonts w:ascii="Calibri" w:hAnsi="Calibri"/>
          <w:b w:val="0"/>
          <w:i w:val="0"/>
          <w:sz w:val="20"/>
        </w:rPr>
        <w:t>Rows with column G filled but column E blank are silently excluded. Fill column E, or clear column G.</w:t>
      </w:r>
    </w:p>
    <w:p>
      <w:pPr>
        <w:spacing w:before="0" w:after="0"/>
      </w:pPr>
      <w:r>
        <w:br w:type="page"/>
      </w:r>
    </w:p>
    <w:p>
      <w:bookmarkStart w:id="102" w:name="qs_inputs"/>
      <w:pPr>
        <w:pStyle w:val="Heading1"/>
        <w:spacing w:before="80" w:after="4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28"/>
        </w:rPr>
        <w:t>Inputs reference</w:t>
      </w:r>
      <w:bookmarkEnd w:id="102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0"/>
        </w:rPr>
        <w:t>Column-level reference for the only tab whose numbers flow to tax calcs. Everything else in the workbook reads from here.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Section 1 — Members (rows 6–12)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Up to four members. Edit columns A (label) and B (TSB, dollars). Three derived columns are read-only: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Split %</w:t>
      </w:r>
      <w:r>
        <w:rPr>
          <w:rFonts w:ascii="Calibri" w:hAnsi="Calibri"/>
          <w:b w:val="0"/>
          <w:i w:val="0"/>
          <w:sz w:val="20"/>
        </w:rPr>
        <w:t xml:space="preserve"> — TSB ÷ total fund TSB.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Band 1 (3m–10m)</w:t>
      </w:r>
      <w:r>
        <w:rPr>
          <w:rFonts w:ascii="Calibri" w:hAnsi="Calibri"/>
          <w:b w:val="0"/>
          <w:i w:val="0"/>
          <w:sz w:val="20"/>
        </w:rPr>
        <w:t xml:space="preserve"> — MAX(0, MIN(TSB, $10m) − $3m) ÷ TSB. Taxed at 15%.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Band 2 (&gt; 10m)</w:t>
      </w:r>
      <w:r>
        <w:rPr>
          <w:rFonts w:ascii="Calibri" w:hAnsi="Calibri"/>
          <w:b w:val="0"/>
          <w:i w:val="0"/>
          <w:sz w:val="20"/>
        </w:rPr>
        <w:t xml:space="preserve"> — MAX(0, TSB − $10m) ÷ TSB. Taxed at 25%.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Traffic-light banner above the table reads green (no Div 296), amber ($3m–$10m), or deep amber (above $10m).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Section 2 — Asset register (rows 15–65, 50 rows)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</w:t>
            </w:r>
          </w:p>
        </w:tc>
        <w:tc>
          <w:tcPr>
            <w:tcW w:type="dxa" w:w="3551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Header</w:t>
            </w:r>
          </w:p>
        </w:tc>
        <w:tc>
          <w:tcPr>
            <w:tcW w:type="dxa" w:w="3551"/>
            <w:shd w:val="clear" w:color="auto" w:fill="1D3B3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Asset code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Short identifier. Free text.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Asset name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Plain description.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Original cost base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Pre-reset basis — used for ordinary CGT regardless of reset.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Current market value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Context only; not used in tax calcs.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Market value at 30 Jun 2026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Load-bearing. Div 296 cost base under the reset scenario.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Valuation source / date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Free text; mirrored to Notes valuation log.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Projected sale proceeds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Blank = row excluded from totals (amber tripwire fires).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Projected gain/loss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Locked formula. Do not edit.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Held &gt; 12 months?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Yes/No dropdown. Drives 1/3 CGT discount (s115-100).</w:t>
            </w:r>
          </w:p>
        </w:tc>
      </w:tr>
    </w:tbl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Section 3 — Advanced assumptions (rows 67–75)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Eight named-range cells. Touch only if the ATO publishes a change. Defaults match the enacted law: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rate_tier1 = 15% (slice $3m–$10m). rate_tier2 = 25% (slice above $10m).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threshold_1 = $3,000,000 · threshold_2 = $10,000,000.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discount_rate = 1/3 (s115-100 ITAA 1997). fund_cgt_rate = 15% (accumulation).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indexation_increment_1 / _2 — forward-modelling only, not applied to Year 1.</w:t>
      </w:r>
    </w:p>
    <w:p>
      <w:pPr>
        <w:spacing w:before="0" w:after="0"/>
      </w:pPr>
      <w:r>
        <w:br w:type="page"/>
      </w:r>
    </w:p>
    <w:p>
      <w:bookmarkStart w:id="103" w:name="qs_analyser"/>
      <w:pPr>
        <w:pStyle w:val="Heading1"/>
        <w:spacing w:before="80" w:after="40"/>
        <w:pBdr>
          <w:left w:val="single" w:sz="32" w:space="8" w:color="3F4F4A"/>
        </w:pBdr>
      </w:pPr>
      <w:r>
        <w:rPr>
          <w:rFonts w:ascii="Calibri" w:hAnsi="Calibri"/>
          <w:b/>
          <w:i w:val="0"/>
          <w:color w:val="3F4F4A"/>
          <w:sz w:val="28"/>
        </w:rPr>
        <w:t>Reading the Analyser</w:t>
      </w:r>
      <w:bookmarkEnd w:id="103"/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Fund summary (rows 6–13)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Side by side: If no reset · If elected · Difference. Bottom row (‘Total Div 296 tax’) is the headline. Signed Difference: negative (green) = reset saves tax; positive (red) = reset costs more tax.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Per-asset analysis (rows 15–67)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Always reflects the elected-reset scenario. Most-read columns: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K — Div 296 tax</w:t>
      </w:r>
      <w:r>
        <w:rPr>
          <w:rFonts w:ascii="Calibri" w:hAnsi="Calibri"/>
          <w:b w:val="0"/>
          <w:i w:val="0"/>
          <w:sz w:val="20"/>
        </w:rPr>
        <w:t xml:space="preserve"> — Authoritative per-asset Div 296 tax (pro-rata of the elected-reset headline).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L — Reset impact</w:t>
      </w:r>
      <w:r>
        <w:rPr>
          <w:rFonts w:ascii="Calibri" w:hAnsi="Calibri"/>
          <w:b w:val="0"/>
          <w:i w:val="0"/>
          <w:sz w:val="20"/>
        </w:rPr>
        <w:t xml:space="preserve"> — Signed delta. Negative = reset reduces this asset's burden. Positive = reset-trap candidate.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E, G — Ord gross gain / Ord CGT (info only)</w:t>
      </w:r>
      <w:r>
        <w:rPr>
          <w:rFonts w:ascii="Calibri" w:hAnsi="Calibri"/>
          <w:b w:val="0"/>
          <w:i w:val="0"/>
          <w:sz w:val="20"/>
        </w:rPr>
        <w:t xml:space="preserve"> — Greyed. Do NOT sum to fund Ord CGT — s102-5 capital-loss netting happens at fund level. Read the Reconciliation panel for the authoritative figure.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Reconciliation (rows 70–74)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Authoritative fund-level totals: ordinary CGT after intra-year capital-loss netting (s102-5 method, then s115-100 1/3 discount on the discountable residue), Division 296 tax payable, and any current-year net unused capital loss carried forward.</w:t>
      </w:r>
    </w:p>
    <w:p>
      <w:bookmarkStart w:id="104" w:name="qs_comparison"/>
      <w:pPr>
        <w:pStyle w:val="Heading1"/>
        <w:spacing w:before="80" w:after="40"/>
        <w:pBdr>
          <w:left w:val="single" w:sz="32" w:space="8" w:color="8B4A1E"/>
        </w:pBdr>
      </w:pPr>
      <w:r>
        <w:rPr>
          <w:rFonts w:ascii="Calibri" w:hAnsi="Calibri"/>
          <w:b/>
          <w:i w:val="0"/>
          <w:color w:val="8B4A1E"/>
          <w:sz w:val="28"/>
        </w:rPr>
        <w:t>Comparison tearsheet</w:t>
      </w:r>
      <w:bookmarkEnd w:id="104"/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20"/>
        </w:rPr>
        <w:t>Print-ready landscape A4. Use as a client meeting handout or file note without editing. Order top to bottom: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Header strip — fund, prepared by, date, version.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Members &amp; TSB strip.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Headline cards — Div 296 tax under each scenario plus signed net effect.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Per-scenario subtotals — Earnings, Ord CGT (unchanged), Div 296 tax, Total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Per-member breakdown — TSB and Div 296 tax for both scenarios.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Per-asset detail — top 10 by |Δ Div 296 tax|.</w:t>
      </w:r>
    </w:p>
    <w:p>
      <w:pPr>
        <w:spacing w:before="0" w:after="0"/>
      </w:pPr>
      <w:r>
        <w:br w:type="page"/>
      </w:r>
    </w:p>
    <w:p>
      <w:bookmarkStart w:id="105" w:name="qs_caveats"/>
      <w:pPr>
        <w:pStyle w:val="Heading1"/>
        <w:spacing w:before="80" w:after="40"/>
        <w:pBdr>
          <w:left w:val="single" w:sz="32" w:space="8" w:color="8A6D00"/>
        </w:pBdr>
      </w:pPr>
      <w:r>
        <w:rPr>
          <w:rFonts w:ascii="Calibri" w:hAnsi="Calibri"/>
          <w:b/>
          <w:i w:val="0"/>
          <w:color w:val="8A6D00"/>
          <w:sz w:val="28"/>
        </w:rPr>
        <w:t>Caveats</w:t>
      </w:r>
      <w:bookmarkEnd w:id="105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0"/>
        </w:rPr>
        <w:t>Hold these in mind. Material; several work in opposing directions.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Prior-year carry-forward capital losses NOT modelled.</w:t>
      </w:r>
      <w:r>
        <w:rPr>
          <w:rFonts w:ascii="Calibri" w:hAnsi="Calibri"/>
          <w:b w:val="0"/>
          <w:i w:val="0"/>
          <w:sz w:val="20"/>
        </w:rPr>
        <w:t xml:space="preserve"> — Apply prior-year carry-forward outside the model.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Pension phase NOT modelled.</w:t>
      </w:r>
      <w:r>
        <w:rPr>
          <w:rFonts w:ascii="Calibri" w:hAnsi="Calibri"/>
          <w:b w:val="0"/>
          <w:i w:val="0"/>
          <w:sz w:val="20"/>
        </w:rPr>
        <w:t xml:space="preserve"> — Assumes 100% accumulation. Overstates Ord CGT for pension members.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Reset-OFF scenario is realised-only.</w:t>
      </w:r>
      <w:r>
        <w:rPr>
          <w:rFonts w:ascii="Calibri" w:hAnsi="Calibri"/>
          <w:b w:val="0"/>
          <w:i w:val="0"/>
          <w:sz w:val="20"/>
        </w:rPr>
        <w:t xml:space="preserve"> — Under enacted Div 296, no-reset earnings are assessed on year-on-year TSB movement (realised + unrealised). Comparison understates the no-reset burden.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Multi-member splits are TSB-proportional.</w:t>
      </w:r>
      <w:r>
        <w:rPr>
          <w:rFonts w:ascii="Calibri" w:hAnsi="Calibri"/>
          <w:b w:val="0"/>
          <w:i w:val="0"/>
          <w:sz w:val="20"/>
        </w:rPr>
        <w:t xml:space="preserve"> — Real funds use an actuarial certificate on time-weighted balances.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Wash sale / Part IVA risk.</w:t>
      </w:r>
      <w:r>
        <w:rPr>
          <w:rFonts w:ascii="Calibri" w:hAnsi="Calibri"/>
          <w:b w:val="0"/>
          <w:i w:val="0"/>
          <w:sz w:val="20"/>
        </w:rPr>
        <w:t xml:space="preserve"> — Pre-30 June 2026 disposals purely for tax sit in anti-avoidance territory (TR 2008/1, Part IVA).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Transaction costs not modelled.</w:t>
      </w:r>
      <w:r>
        <w:rPr>
          <w:rFonts w:ascii="Calibri" w:hAnsi="Calibri"/>
          <w:b w:val="0"/>
          <w:i w:val="0"/>
          <w:sz w:val="20"/>
        </w:rPr>
        <w:t xml:space="preserve"> — Brokerage, stamp duty, liquidity drag, market-timing excluded.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20"/>
        </w:rPr>
        <w:t>Sheet protection is tamper-evident, not tamper-proof.</w:t>
      </w:r>
      <w:r>
        <w:rPr>
          <w:rFonts w:ascii="Calibri" w:hAnsi="Calibri"/>
          <w:b w:val="0"/>
          <w:i w:val="0"/>
          <w:sz w:val="20"/>
        </w:rPr>
        <w:t xml:space="preserve"> — Passwordless. Prevents accidental overwrites only.</w:t>
      </w:r>
    </w:p>
    <w:p>
      <w:bookmarkStart w:id="106" w:name="qs_troubleshooting"/>
      <w:pPr>
        <w:pStyle w:val="Heading1"/>
        <w:spacing w:before="80" w:after="40"/>
        <w:pBdr>
          <w:left w:val="single" w:sz="32" w:space="8" w:color="A61B1B"/>
        </w:pBdr>
      </w:pPr>
      <w:r>
        <w:rPr>
          <w:rFonts w:ascii="Calibri" w:hAnsi="Calibri"/>
          <w:b/>
          <w:i w:val="0"/>
          <w:color w:val="A61B1B"/>
          <w:sz w:val="28"/>
        </w:rPr>
        <w:t>Troubleshooting</w:t>
      </w:r>
      <w:bookmarkEnd w:id="106"/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 see</w:t>
            </w:r>
          </w:p>
        </w:tc>
        <w:tc>
          <w:tcPr>
            <w:tcW w:type="dxa" w:w="3551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it means</w:t>
            </w:r>
          </w:p>
        </w:tc>
        <w:tc>
          <w:tcPr>
            <w:tcW w:type="dxa" w:w="3551"/>
            <w:shd w:val="clear" w:color="auto" w:fill="A61B1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 this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Yellow ‘Sample data preloaded’ badge persists.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Sample input (P1/S1/L1 or seeded TSBs) still present.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Overwrite every sample cell on Inputs.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 banner: proceeds without 30 Jun 2026 value.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Those rows excluded from every figure.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Fill column E, or clear column G.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 banner: formulas in the register.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Non-values paste left live formulas in register cells.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Ctrl+Z to undo, then Paste-Special &gt; Values.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TSB diagnostic banner is deep amber.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At least one member's TSB exceeds $10m — 25% above-$10m tier applies.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Read Comparison for impact. No input change.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Per-asset Ord CGT (col G) doesn't sum to Reconciliation Ord CGT.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Correct — loss netting at fund level (s102-5), not per asset.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Rely on Reconciliation.</w:t>
            </w:r>
          </w:p>
        </w:tc>
      </w:tr>
    </w:tbl>
    <w:p>
      <w:pPr>
        <w:spacing w:before="0" w:after="0"/>
      </w:pPr>
      <w:r>
        <w:br w:type="page"/>
      </w:r>
    </w:p>
    <w:p>
      <w:bookmarkStart w:id="107" w:name="qs_cheatsheet"/>
      <w:pPr>
        <w:pStyle w:val="Heading1"/>
        <w:spacing w:before="80" w:after="40"/>
        <w:pBdr>
          <w:left w:val="single" w:sz="32" w:space="8" w:color="1D3B34"/>
        </w:pBdr>
      </w:pPr>
      <w:r>
        <w:rPr>
          <w:rFonts w:ascii="Calibri" w:hAnsi="Calibri"/>
          <w:b/>
          <w:i w:val="0"/>
          <w:color w:val="1D3B34"/>
          <w:sz w:val="28"/>
        </w:rPr>
        <w:t>Cheat sheet</w:t>
      </w:r>
      <w:bookmarkEnd w:id="107"/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555555"/>
          <w:sz w:val="20"/>
        </w:rPr>
        <w:t>Tear-off reference. Keep next to the workbook.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Inputs columns at a glance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A · Asset code (free text)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B · Asset name (free text)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C · Original cost base (ordinary CGT basis — unchanged by reset)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D · Current market value (context only)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E · MV @ 30 Jun 2026 (load-bearing — Div 296 basis under reset)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F · Valuation source / date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G · Projected sale proceeds (blank → row excluded)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H · Projected gain/loss (locked formula — do not edit)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I · Held &gt; 12 months? (drives 1/3 CGT discount)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Banners — colour, meaning, action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Colour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Means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Do this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Yellow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Sample data still loaded.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Overwrite every sample cell.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Formulas in register (Ctrl+V used).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Ctrl+Z, Paste-Special &gt; Values.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Red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Proceeds without 30 Jun 2026 value.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Fill col E or clear col G.</w:t>
            </w:r>
          </w:p>
        </w:tc>
      </w:tr>
      <w:tr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Amber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TSB &gt; $10m — 25% tier applies.</w:t>
            </w:r>
          </w:p>
        </w:tc>
        <w:tc>
          <w:tcPr>
            <w:tcW w:type="dxa" w:w="3551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 action; read Comparison.</w:t>
            </w:r>
          </w:p>
        </w:tc>
      </w:tr>
    </w:tbl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Keyboard tricks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19"/>
        </w:rPr>
        <w:t>Paste-Special &gt; Values</w:t>
      </w:r>
      <w:r>
        <w:rPr>
          <w:rFonts w:ascii="Calibri" w:hAnsi="Calibri"/>
          <w:b w:val="0"/>
          <w:i w:val="0"/>
          <w:sz w:val="19"/>
        </w:rPr>
        <w:t xml:space="preserve"> — Ctrl+Alt+V then V — only safe paste into register.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19"/>
        </w:rPr>
        <w:t>Undo</w:t>
      </w:r>
      <w:r>
        <w:rPr>
          <w:rFonts w:ascii="Calibri" w:hAnsi="Calibri"/>
          <w:b w:val="0"/>
          <w:i w:val="0"/>
          <w:sz w:val="19"/>
        </w:rPr>
        <w:t xml:space="preserve"> — Ctrl+Z — recovers from a bad paste.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sz w:val="19"/>
        </w:rPr>
        <w:t>Word Navigation Pane (this guide)</w:t>
      </w:r>
      <w:r>
        <w:rPr>
          <w:rFonts w:ascii="Calibri" w:hAnsi="Calibri"/>
          <w:b w:val="0"/>
          <w:i w:val="0"/>
          <w:sz w:val="19"/>
        </w:rPr>
        <w:t xml:space="preserve"> — View → Navigation Pane.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Five caveats that change numbers materially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Prior-year carry-forward losses — apply outside the model.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Pension phase — not modelled (overstates Ord CGT for pension members).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No-reset is realised-only — understates no-reset Div 296 burden.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Multi-member split is TSB-proportional, not actuarial.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9"/>
        </w:rPr>
        <w:t>Transaction costs (brokerage, stamp duty, liquidity) excluded.</w:t>
      </w:r>
    </w:p>
    <w:p>
      <w:pPr>
        <w:pStyle w:val="Heading2"/>
        <w:spacing w:before="80" w:after="20"/>
      </w:pPr>
      <w:r>
        <w:rPr>
          <w:rFonts w:ascii="Calibri" w:hAnsi="Calibri"/>
          <w:b/>
          <w:i w:val="0"/>
          <w:color w:val="3F4F4A"/>
          <w:sz w:val="22"/>
        </w:rPr>
        <w:t>Verifying the version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sz w:val="19"/>
        </w:rPr>
        <w:t>Notes tab → unhide rows immediately below the valuation log to see build_version, build_date, git_short_sha.</w:t>
      </w:r>
    </w:p>
    <w:sectPr w:rsidR="00FC693F" w:rsidRPr="0006063C" w:rsidSect="00034616">
      <w:head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55555"/>
        <w:sz w:val="16"/>
      </w:rPr>
      <w:t>Adviser Edition  ·  v3.4.0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