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D3B34"/>
          <w:sz w:val="36"/>
        </w:rPr>
        <w:t>Division 296 Cost Base Reset Model</w:t>
      </w:r>
    </w:p>
    <w:p>
      <w:pPr>
        <w:spacing w:before="0" w:after="40"/>
      </w:pPr>
      <w:r>
        <w:rPr>
          <w:rFonts w:ascii="Calibri" w:hAnsi="Calibri"/>
          <w:b/>
          <w:i w:val="0"/>
          <w:color w:val="3F4F4A"/>
          <w:sz w:val="22"/>
        </w:rPr>
        <w:t>Full Edition</w:t>
      </w:r>
      <w:r>
        <w:rPr>
          <w:rFonts w:ascii="Calibri" w:hAnsi="Calibri"/>
          <w:b w:val="0"/>
          <w:i w:val="0"/>
          <w:color w:val="555555"/>
          <w:sz w:val="20"/>
        </w:rPr>
        <w:t xml:space="preserve">   ·   </w:t>
      </w:r>
      <w:r>
        <w:rPr>
          <w:rFonts w:ascii="Calibri" w:hAnsi="Calibri"/>
          <w:b w:val="0"/>
          <w:i w:val="0"/>
          <w:color w:val="555555"/>
          <w:sz w:val="20"/>
        </w:rPr>
        <w:t>v3.4.0</w:t>
      </w:r>
      <w:r>
        <w:rPr>
          <w:rFonts w:ascii="Calibri" w:hAnsi="Calibri"/>
          <w:b w:val="0"/>
          <w:i w:val="0"/>
          <w:color w:val="555555"/>
          <w:sz w:val="20"/>
        </w:rPr>
        <w:t xml:space="preserve">   ·   </w:t>
      </w:r>
      <w:r>
        <w:rPr>
          <w:rFonts w:ascii="Calibri" w:hAnsi="Calibri"/>
          <w:b w:val="0"/>
          <w:i/>
          <w:color w:val="555555"/>
          <w:sz w:val="20"/>
        </w:rPr>
        <w:t>Built 2026-06-23</w:t>
      </w:r>
      <w:r>
        <w:rPr>
          <w:rFonts w:ascii="Calibri" w:hAnsi="Calibri"/>
          <w:b w:val="0"/>
          <w:i w:val="0"/>
          <w:color w:val="555555"/>
          <w:sz w:val="20"/>
        </w:rPr>
        <w:t xml:space="preserve">   ·   </w:t>
      </w:r>
      <w:r>
        <w:rPr>
          <w:rFonts w:ascii="Calibri" w:hAnsi="Calibri"/>
          <w:b w:val="0"/>
          <w:i/>
          <w:color w:val="3F4F4A"/>
          <w:sz w:val="20"/>
        </w:rPr>
        <w:t>For SMSF advisers using CLASS Super as administration software.</w:t>
      </w:r>
    </w:p>
    <w:p>
      <w:pPr>
        <w:spacing w:before="120" w:after="20"/>
      </w:pPr>
      <w:r>
        <w:rPr>
          <w:rFonts w:ascii="Calibri" w:hAnsi="Calibri"/>
          <w:b/>
          <w:i w:val="0"/>
          <w:color w:val="1D3B34"/>
          <w:sz w:val="22"/>
        </w:rPr>
        <w:t>What this tool does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val="clear" w:color="auto" w:fill="F5F1E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D3B34"/>
                <w:sz w:val="19"/>
              </w:rPr>
              <w:t>Division 296.</w:t>
            </w:r>
            <w:r>
              <w:rPr>
                <w:rFonts w:ascii="Calibri" w:hAnsi="Calibri"/>
                <w:b w:val="0"/>
                <w:i w:val="0"/>
                <w:color w:val="333333"/>
                <w:sz w:val="19"/>
              </w:rPr>
              <w:t xml:space="preserve"> From FY 2026–27 (first test 30 Jun 2027), super earnings on the slice of Total Super Balance (TSB) between $3m and $10m attract an extra 15% tax; the slice above $10m attracts an extra 25%. Assessed personally on the member, not on the fund.</w:t>
            </w:r>
          </w:p>
        </w:tc>
      </w:tr>
      <w:tr>
        <w:tc>
          <w:tcPr>
            <w:tcW w:type="dxa" w:w="10652"/>
            <w:shd w:val="clear" w:color="auto" w:fill="F5F1E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D3B34"/>
                <w:sz w:val="19"/>
              </w:rPr>
              <w:t>Cost base reset election.</w:t>
            </w:r>
            <w:r>
              <w:rPr>
                <w:rFonts w:ascii="Calibri" w:hAnsi="Calibri"/>
                <w:b w:val="0"/>
                <w:i w:val="0"/>
                <w:color w:val="333333"/>
                <w:sz w:val="19"/>
              </w:rPr>
              <w:t xml:space="preserve"> A transitional one-off election: step each CGT asset's cost base up to its market value at 30 Jun 2026. Once lodged, irrevocable.</w:t>
            </w:r>
          </w:p>
        </w:tc>
      </w:tr>
      <w:tr>
        <w:tc>
          <w:tcPr>
            <w:tcW w:type="dxa" w:w="10652"/>
            <w:shd w:val="clear" w:color="auto" w:fill="F5F1E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D3B34"/>
                <w:sz w:val="19"/>
              </w:rPr>
              <w:t>What this model compares.</w:t>
            </w:r>
            <w:r>
              <w:rPr>
                <w:rFonts w:ascii="Calibri" w:hAnsi="Calibri"/>
                <w:b w:val="0"/>
                <w:i w:val="0"/>
                <w:color w:val="333333"/>
                <w:sz w:val="19"/>
              </w:rPr>
              <w:t xml:space="preserve"> Reset election ON vs OFF. For each scenario it projects Division 296 tax — and the ordinary CGT that flows from realising the asset.</w:t>
            </w:r>
          </w:p>
        </w:tc>
      </w:tr>
      <w:tr>
        <w:tc>
          <w:tcPr>
            <w:tcW w:type="dxa" w:w="10652"/>
            <w:shd w:val="clear" w:color="auto" w:fill="F5F1E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D3B34"/>
                <w:sz w:val="19"/>
              </w:rPr>
              <w:t>Decision it supports.</w:t>
            </w:r>
            <w:r>
              <w:rPr>
                <w:rFonts w:ascii="Calibri" w:hAnsi="Calibri"/>
                <w:b w:val="0"/>
                <w:i w:val="0"/>
                <w:color w:val="333333"/>
                <w:sz w:val="19"/>
              </w:rPr>
              <w:t xml:space="preserve"> Whether the SMSF should lodge the reset election. Rule of thumb: reset usually saves tax on future-gain assets and costs tax on future-loss assets — net effect depends on the asset mix.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  <w:shd w:val="clear" w:color="auto" w:fill="1D3B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INPUTS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/>
                <w:color w:val="FFFFFF"/>
                <w:sz w:val="15"/>
              </w:rPr>
              <w:t>you edit</w:t>
            </w:r>
          </w:p>
        </w:tc>
        <w:tc>
          <w:tcPr>
            <w:tcW w:type="dxa" w:w="1184"/>
          </w:tcPr>
          <w:p>
            <w:r/>
          </w:p>
        </w:tc>
        <w:tc>
          <w:tcPr>
            <w:tcW w:type="dxa" w:w="1184"/>
            <w:shd w:val="clear" w:color="auto" w:fill="2D5F5C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 IMPORT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/>
                <w:color w:val="FFFFFF"/>
                <w:sz w:val="15"/>
              </w:rPr>
              <w:t>paste here</w:t>
            </w:r>
          </w:p>
        </w:tc>
        <w:tc>
          <w:tcPr>
            <w:tcW w:type="dxa" w:w="1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55555"/>
                <w:sz w:val="28"/>
              </w:rPr>
              <w:t>→</w:t>
            </w:r>
          </w:p>
        </w:tc>
        <w:tc>
          <w:tcPr>
            <w:tcW w:type="dxa" w:w="1184"/>
            <w:shd w:val="clear" w:color="auto" w:fill="3F4F4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ANALYSER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/>
                <w:color w:val="FFFFFF"/>
                <w:sz w:val="15"/>
              </w:rPr>
              <w:t>auto</w:t>
            </w:r>
          </w:p>
        </w:tc>
        <w:tc>
          <w:tcPr>
            <w:tcW w:type="dxa" w:w="118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55555"/>
                <w:sz w:val="28"/>
              </w:rPr>
              <w:t>→</w:t>
            </w:r>
          </w:p>
        </w:tc>
        <w:tc>
          <w:tcPr>
            <w:tcW w:type="dxa" w:w="1184"/>
            <w:shd w:val="clear" w:color="auto" w:fill="8B4A1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COMPARISON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/>
                <w:color w:val="FFFFFF"/>
                <w:sz w:val="15"/>
              </w:rPr>
              <w:t>auto + print</w:t>
            </w:r>
          </w:p>
        </w:tc>
        <w:tc>
          <w:tcPr>
            <w:tcW w:type="dxa" w:w="1184"/>
          </w:tcPr>
          <w:p>
            <w:r/>
          </w:p>
        </w:tc>
        <w:tc>
          <w:tcPr>
            <w:tcW w:type="dxa" w:w="1184"/>
            <w:shd w:val="clear" w:color="auto" w:fill="8A6D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/>
                <w:color w:val="FFFFFF"/>
                <w:sz w:val="15"/>
              </w:rPr>
              <w:t>reference</w:t>
            </w:r>
          </w:p>
        </w:tc>
      </w:tr>
    </w:tbl>
    <w:p>
      <w:pPr>
        <w:spacing w:before="40" w:after="0"/>
      </w:pPr>
      <w:r>
        <w:rPr>
          <w:rFonts w:ascii="Calibri" w:hAnsi="Calibri"/>
          <w:b w:val="0"/>
          <w:i/>
          <w:color w:val="555555"/>
          <w:sz w:val="16"/>
        </w:rPr>
        <w:t>CLASS Import is a staging tab: paste a CLASS Investment Summary Report, then copy-paste-values into the Inputs asset register.</w:t>
      </w:r>
    </w:p>
    <w:p>
      <w:bookmarkStart w:id="101" w:name="qs_quickstart"/>
      <w:pPr>
        <w:pStyle w:val="Heading1"/>
        <w:spacing w:before="80" w:after="40"/>
        <w:pBdr>
          <w:left w:val="single" w:sz="32" w:space="8" w:color="1D3B34"/>
        </w:pBdr>
      </w:pPr>
      <w:r>
        <w:rPr>
          <w:rFonts w:ascii="Calibri" w:hAnsi="Calibri"/>
          <w:b/>
          <w:i w:val="0"/>
          <w:color w:val="1D3B34"/>
          <w:sz w:val="28"/>
        </w:rPr>
        <w:t>Quick Start</w:t>
      </w:r>
      <w:bookmarkEnd w:id="101"/>
    </w:p>
    <w:p>
      <w:pPr>
        <w:spacing w:before="0" w:after="40" w:line="276" w:lineRule="auto"/>
      </w:pPr>
      <w:r>
        <w:rPr>
          <w:rFonts w:ascii="Calibri" w:hAnsi="Calibri"/>
          <w:b w:val="0"/>
          <w:i/>
          <w:color w:val="555555"/>
          <w:sz w:val="21"/>
        </w:rPr>
        <w:t>Three steps. Five minutes. One headline number.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67"/>
            <w:shd w:val="clear" w:color="auto" w:fill="1D3B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1</w:t>
            </w:r>
          </w:p>
        </w:tc>
        <w:tc>
          <w:tcPr>
            <w:tcW w:type="dxa" w:w="532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1D3B34"/>
                <w:sz w:val="21"/>
              </w:rPr>
              <w:t>Inputs → Members.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Type each member's Total Super Balance (TSB) into column B (rows 7–10). Split %, $3m–$10m band, and above-$10m band derive automatically.</w:t>
            </w:r>
          </w:p>
        </w:tc>
      </w:tr>
      <w:tr>
        <w:tc>
          <w:tcPr>
            <w:tcW w:type="dxa" w:w="567"/>
            <w:shd w:val="clear" w:color="auto" w:fill="1D3B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2</w:t>
            </w:r>
          </w:p>
        </w:tc>
        <w:tc>
          <w:tcPr>
            <w:tcW w:type="dxa" w:w="532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1D3B34"/>
                <w:sz w:val="21"/>
              </w:rPr>
              <w:t>Asset register — type, or paste from CLASS Import.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For each CGT asset held at 30 June 2026: original cost base (C), market value at 30 Jun 2026 (E), projected sale proceeds (G), held &gt; 12 months (I). Column H is locked. For CLASS Super users, the CLASS Import tab maps a pasted Investment Summary Report (Tax Cost Base basis) into A:G — copy + Paste-Special &gt; Values.</w:t>
            </w:r>
          </w:p>
        </w:tc>
      </w:tr>
      <w:tr>
        <w:tc>
          <w:tcPr>
            <w:tcW w:type="dxa" w:w="567"/>
            <w:shd w:val="clear" w:color="auto" w:fill="1D3B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3</w:t>
            </w:r>
          </w:p>
        </w:tc>
        <w:tc>
          <w:tcPr>
            <w:tcW w:type="dxa" w:w="532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1D3B34"/>
                <w:sz w:val="21"/>
              </w:rPr>
              <w:t>Comparison tab.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Read the three headline cards: If no reset · If elected · Net effect. Negative net effect (green) = the reset saves Division 296 tax.</w:t>
            </w:r>
          </w:p>
        </w:tc>
      </w:tr>
    </w:tbl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Where the answer lives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sz w:val="20"/>
        </w:rPr>
        <w:t>Comparison tab → Headline cards. Three numbers: total Div 296 tax under each scenario plus the signed net effect. Negative (green) = reset saves tax. Positive (red) = ‘reset trap’ — locking in a higher basis on an asset you'll later sell at a loss shrinks that future loss, so net tax goes up.</w:t>
      </w:r>
    </w:p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Two safety banners on Inputs</w:t>
      </w:r>
    </w:p>
    <w:p>
      <w:pPr>
        <w:spacing w:before="0" w:after="20"/>
      </w:pPr>
      <w:r>
        <w:rPr>
          <w:rFonts w:ascii="Calibri" w:hAnsi="Calibri"/>
          <w:b/>
          <w:i w:val="0"/>
          <w:color w:val="A61B1B"/>
          <w:sz w:val="20"/>
        </w:rPr>
        <w:t xml:space="preserve">Red — formulas in the register. </w:t>
      </w:r>
      <w:r>
        <w:rPr>
          <w:rFonts w:ascii="Calibri" w:hAnsi="Calibri"/>
          <w:b w:val="0"/>
          <w:i w:val="0"/>
          <w:sz w:val="20"/>
        </w:rPr>
        <w:t>Pasted from CLASS Import with Ctrl+V instead of Paste-Special &gt; Values. Press Ctrl+Z, re-paste as values.</w:t>
      </w:r>
    </w:p>
    <w:p>
      <w:pPr>
        <w:spacing w:before="0" w:after="20"/>
      </w:pPr>
      <w:r>
        <w:rPr>
          <w:rFonts w:ascii="Calibri" w:hAnsi="Calibri"/>
          <w:b/>
          <w:i w:val="0"/>
          <w:color w:val="A61B1B"/>
          <w:sz w:val="20"/>
        </w:rPr>
        <w:t xml:space="preserve">Red — proceeds without 30 Jun 2026 value. </w:t>
      </w:r>
      <w:r>
        <w:rPr>
          <w:rFonts w:ascii="Calibri" w:hAnsi="Calibri"/>
          <w:b w:val="0"/>
          <w:i w:val="0"/>
          <w:sz w:val="20"/>
        </w:rPr>
        <w:t>Rows with column G filled but column E blank are silently excluded. Fill column E, or clear column G.</w:t>
      </w:r>
    </w:p>
    <w:p>
      <w:pPr>
        <w:spacing w:before="0" w:after="0"/>
      </w:pPr>
      <w:r>
        <w:br w:type="page"/>
      </w:r>
    </w:p>
    <w:p>
      <w:bookmarkStart w:id="102" w:name="qs_inputs"/>
      <w:pPr>
        <w:pStyle w:val="Heading1"/>
        <w:spacing w:before="80" w:after="40"/>
        <w:pBdr>
          <w:left w:val="single" w:sz="32" w:space="8" w:color="1D3B34"/>
        </w:pBdr>
      </w:pPr>
      <w:r>
        <w:rPr>
          <w:rFonts w:ascii="Calibri" w:hAnsi="Calibri"/>
          <w:b/>
          <w:i w:val="0"/>
          <w:color w:val="1D3B34"/>
          <w:sz w:val="28"/>
        </w:rPr>
        <w:t>Inputs reference</w:t>
      </w:r>
      <w:bookmarkEnd w:id="102"/>
    </w:p>
    <w:p>
      <w:pPr>
        <w:spacing w:before="0" w:after="40" w:line="276" w:lineRule="auto"/>
      </w:pPr>
      <w:r>
        <w:rPr>
          <w:rFonts w:ascii="Calibri" w:hAnsi="Calibri"/>
          <w:b w:val="0"/>
          <w:i/>
          <w:color w:val="555555"/>
          <w:sz w:val="20"/>
        </w:rPr>
        <w:t>Column-level reference for the only tab whose numbers flow to tax calcs. Everything else in the workbook reads from here.</w:t>
      </w:r>
    </w:p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Section 1 — Members (rows 6–12)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sz w:val="20"/>
        </w:rPr>
        <w:t>Up to four members. Edit columns A (label) and B (TSB, dollars). Three derived columns are read-only: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Split %</w:t>
      </w:r>
      <w:r>
        <w:rPr>
          <w:rFonts w:ascii="Calibri" w:hAnsi="Calibri"/>
          <w:b w:val="0"/>
          <w:i w:val="0"/>
          <w:sz w:val="20"/>
        </w:rPr>
        <w:t xml:space="preserve"> — TSB ÷ total fund TSB.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Band 1 (3m–10m)</w:t>
      </w:r>
      <w:r>
        <w:rPr>
          <w:rFonts w:ascii="Calibri" w:hAnsi="Calibri"/>
          <w:b w:val="0"/>
          <w:i w:val="0"/>
          <w:sz w:val="20"/>
        </w:rPr>
        <w:t xml:space="preserve"> — MAX(0, MIN(TSB, $10m) − $3m) ÷ TSB. Taxed at 15%.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Band 2 (&gt; 10m)</w:t>
      </w:r>
      <w:r>
        <w:rPr>
          <w:rFonts w:ascii="Calibri" w:hAnsi="Calibri"/>
          <w:b w:val="0"/>
          <w:i w:val="0"/>
          <w:sz w:val="20"/>
        </w:rPr>
        <w:t xml:space="preserve"> — MAX(0, TSB − $10m) ÷ TSB. Taxed at 25%.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sz w:val="20"/>
        </w:rPr>
        <w:t>Traffic-light banner above the table reads green (no Div 296), amber ($3m–$10m), or deep amber (above $10m).</w:t>
      </w:r>
    </w:p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Section 2 — Asset register (rows 15–65, 50 rows)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val="clear" w:color="auto" w:fill="1D3B3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</w:t>
            </w:r>
          </w:p>
        </w:tc>
        <w:tc>
          <w:tcPr>
            <w:tcW w:type="dxa" w:w="3551"/>
            <w:shd w:val="clear" w:color="auto" w:fill="1D3B3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Header</w:t>
            </w:r>
          </w:p>
        </w:tc>
        <w:tc>
          <w:tcPr>
            <w:tcW w:type="dxa" w:w="3551"/>
            <w:shd w:val="clear" w:color="auto" w:fill="1D3B3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Asset code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Short identifier. Free text.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Asset name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Plain description.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Original cost base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Pre-reset basis — used for ordinary CGT regardless of reset.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Current market value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Context only; not used in tax calcs.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Market value at 30 Jun 2026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Load-bearing. Div 296 cost base under the reset scenario.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Valuation source / date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Free text; mirrored to Notes valuation log.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Projected sale proceeds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Blank = row excluded from totals (amber tripwire fires).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Projected gain/loss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Locked formula. Do not edit.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Held &gt; 12 months?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Yes/No dropdown. Drives 1/3 CGT discount (s115-100).</w:t>
            </w:r>
          </w:p>
        </w:tc>
      </w:tr>
    </w:tbl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Section 3 — Advanced assumptions (rows 67–75)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sz w:val="20"/>
        </w:rPr>
        <w:t>Eight named-range cells. Touch only if the ATO publishes a change. Defaults match the enacted law: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rate_tier1 = 15% (slice $3m–$10m). rate_tier2 = 25% (slice above $10m).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threshold_1 = $3,000,000 · threshold_2 = $10,000,000.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discount_rate = 1/3 (s115-100 ITAA 1997). fund_cgt_rate = 15% (accumulation).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indexation_increment_1 / _2 — forward-modelling only, not applied to Year 1.</w:t>
      </w:r>
    </w:p>
    <w:p>
      <w:bookmarkStart w:id="103" w:name="qs_class_import"/>
      <w:pPr>
        <w:pStyle w:val="Heading1"/>
        <w:spacing w:before="80" w:after="40"/>
        <w:pBdr>
          <w:left w:val="single" w:sz="32" w:space="8" w:color="2D5F5C"/>
        </w:pBdr>
      </w:pPr>
      <w:r>
        <w:rPr>
          <w:rFonts w:ascii="Calibri" w:hAnsi="Calibri"/>
          <w:b/>
          <w:i w:val="0"/>
          <w:color w:val="2D5F5C"/>
          <w:sz w:val="28"/>
        </w:rPr>
        <w:t>Using the CLASS Import tab</w:t>
      </w:r>
      <w:bookmarkEnd w:id="103"/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sz w:val="20"/>
        </w:rPr>
        <w:t>CLASS Import is a staging area that maps a CLASS Super Investment Summary Report into the shape of the Inputs asset register. It holds no live formulas into the model — data only reaches the register via a documented copy-paste-values step.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1. In CLASS</w:t>
      </w:r>
      <w:r>
        <w:rPr>
          <w:rFonts w:ascii="Calibri" w:hAnsi="Calibri"/>
          <w:b w:val="0"/>
          <w:i w:val="0"/>
          <w:sz w:val="20"/>
        </w:rPr>
        <w:t xml:space="preserve"> — Generate the Investment Summary Report on a TAX COST BASE basis (not Accounting — Accounting overstates basis for trusts/ETFs/managed funds and silently produces wrong tax). Export to CSV.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2. Clear the green PASTE ZONE first</w:t>
      </w:r>
      <w:r>
        <w:rPr>
          <w:rFonts w:ascii="Calibri" w:hAnsi="Calibri"/>
          <w:b w:val="0"/>
          <w:i w:val="0"/>
          <w:sz w:val="20"/>
        </w:rPr>
        <w:t xml:space="preserve"> — Select A7:R56 on the CLASS Import tab, press Delete. A red ‘EXAMPLE DATA STILL PRESENT’ banner stays lit over the mapped block until every demo row is gone.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3. Paste the CLASS rows</w:t>
      </w:r>
      <w:r>
        <w:rPr>
          <w:rFonts w:ascii="Calibri" w:hAnsi="Calibri"/>
          <w:b w:val="0"/>
          <w:i w:val="0"/>
          <w:sz w:val="20"/>
        </w:rPr>
        <w:t xml:space="preserve"> — Paste your CLASS export rows into A7 onwards. The MAPPED BLOCK on the right filters out cash + the REASEDCGT realised-CGT line, then maps the survivors into register shape.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4. Copy mapped block, paste into Inputs</w:t>
      </w:r>
      <w:r>
        <w:rPr>
          <w:rFonts w:ascii="Calibri" w:hAnsi="Calibri"/>
          <w:b w:val="0"/>
          <w:i w:val="0"/>
          <w:sz w:val="20"/>
        </w:rPr>
        <w:t xml:space="preserve"> — Select the mapped block cols A:G (range T7:Z56), copy, then on Inputs paste into A16 using Paste-Special &gt; Values (never plain Ctrl+V — the locked col H rejects an A:H paste).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5. Complete by hand</w:t>
      </w:r>
      <w:r>
        <w:rPr>
          <w:rFonts w:ascii="Calibri" w:hAnsi="Calibri"/>
          <w:b w:val="0"/>
          <w:i w:val="0"/>
          <w:sz w:val="20"/>
        </w:rPr>
        <w:t xml:space="preserve"> — Fill Market value @ 30 Jun (E), Valuation source/date (F), Projected proceeds (G), Held &gt; 12 months (I). Resolve any negative-cost-base flag (possible CGT event E4).</w:t>
      </w:r>
    </w:p>
    <w:p>
      <w:pPr>
        <w:spacing w:before="0" w:after="0"/>
      </w:pPr>
      <w:r>
        <w:br w:type="page"/>
      </w:r>
    </w:p>
    <w:p>
      <w:bookmarkStart w:id="104" w:name="qs_analyser"/>
      <w:pPr>
        <w:pStyle w:val="Heading1"/>
        <w:spacing w:before="80" w:after="40"/>
        <w:pBdr>
          <w:left w:val="single" w:sz="32" w:space="8" w:color="3F4F4A"/>
        </w:pBdr>
      </w:pPr>
      <w:r>
        <w:rPr>
          <w:rFonts w:ascii="Calibri" w:hAnsi="Calibri"/>
          <w:b/>
          <w:i w:val="0"/>
          <w:color w:val="3F4F4A"/>
          <w:sz w:val="28"/>
        </w:rPr>
        <w:t>Reading the Analyser</w:t>
      </w:r>
      <w:bookmarkEnd w:id="104"/>
    </w:p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Fund summary (rows 6–13)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sz w:val="20"/>
        </w:rPr>
        <w:t>Side by side: If no reset · If elected · Difference. Bottom row (‘Total Div 296 tax’) is the headline. Signed Difference: negative (green) = reset saves tax; positive (red) = reset costs more tax.</w:t>
      </w:r>
    </w:p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Per-asset analysis (rows 15–67)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sz w:val="20"/>
        </w:rPr>
        <w:t>Always reflects the elected-reset scenario. Most-read columns: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K — Div 296 tax</w:t>
      </w:r>
      <w:r>
        <w:rPr>
          <w:rFonts w:ascii="Calibri" w:hAnsi="Calibri"/>
          <w:b w:val="0"/>
          <w:i w:val="0"/>
          <w:sz w:val="20"/>
        </w:rPr>
        <w:t xml:space="preserve"> — Authoritative per-asset Div 296 tax (pro-rata of the elected-reset headline).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L — Reset impact</w:t>
      </w:r>
      <w:r>
        <w:rPr>
          <w:rFonts w:ascii="Calibri" w:hAnsi="Calibri"/>
          <w:b w:val="0"/>
          <w:i w:val="0"/>
          <w:sz w:val="20"/>
        </w:rPr>
        <w:t xml:space="preserve"> — Signed delta. Negative = reset reduces this asset's burden. Positive = reset-trap candidate.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E, G — Ord gross gain / Ord CGT (info only)</w:t>
      </w:r>
      <w:r>
        <w:rPr>
          <w:rFonts w:ascii="Calibri" w:hAnsi="Calibri"/>
          <w:b w:val="0"/>
          <w:i w:val="0"/>
          <w:sz w:val="20"/>
        </w:rPr>
        <w:t xml:space="preserve"> — Greyed. Do NOT sum to fund Ord CGT — s102-5 capital-loss netting happens at fund level. Read the Reconciliation panel for the authoritative figure.</w:t>
      </w:r>
    </w:p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Reconciliation (rows 70–74)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sz w:val="20"/>
        </w:rPr>
        <w:t>Authoritative fund-level totals: ordinary CGT after intra-year capital-loss netting (s102-5 method, then s115-100 1/3 discount on the discountable residue), Division 296 tax payable, and any current-year net unused capital loss carried forward.</w:t>
      </w:r>
    </w:p>
    <w:p>
      <w:bookmarkStart w:id="105" w:name="qs_comparison"/>
      <w:pPr>
        <w:pStyle w:val="Heading1"/>
        <w:spacing w:before="80" w:after="40"/>
        <w:pBdr>
          <w:left w:val="single" w:sz="32" w:space="8" w:color="8B4A1E"/>
        </w:pBdr>
      </w:pPr>
      <w:r>
        <w:rPr>
          <w:rFonts w:ascii="Calibri" w:hAnsi="Calibri"/>
          <w:b/>
          <w:i w:val="0"/>
          <w:color w:val="8B4A1E"/>
          <w:sz w:val="28"/>
        </w:rPr>
        <w:t>Comparison tearsheet</w:t>
      </w:r>
      <w:bookmarkEnd w:id="105"/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sz w:val="20"/>
        </w:rPr>
        <w:t>Print-ready landscape A4. Use as a client meeting handout or file note without editing. Order top to bottom: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Header strip — fund, prepared by, date, version.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Members &amp; TSB strip.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Headline cards — Div 296 tax under each scenario plus signed net effect.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Per-scenario subtotals — Earnings, Ord CGT (unchanged), Div 296 tax, Total burden.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Per-member breakdown — TSB and Div 296 tax for both scenarios.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Per-asset detail — top 10 by |Δ Div 296 tax|.</w:t>
      </w:r>
    </w:p>
    <w:p>
      <w:pPr>
        <w:spacing w:before="0" w:after="0"/>
      </w:pPr>
      <w:r>
        <w:br w:type="page"/>
      </w:r>
    </w:p>
    <w:p>
      <w:bookmarkStart w:id="106" w:name="qs_caveats"/>
      <w:pPr>
        <w:pStyle w:val="Heading1"/>
        <w:spacing w:before="80" w:after="40"/>
        <w:pBdr>
          <w:left w:val="single" w:sz="32" w:space="8" w:color="8A6D00"/>
        </w:pBdr>
      </w:pPr>
      <w:r>
        <w:rPr>
          <w:rFonts w:ascii="Calibri" w:hAnsi="Calibri"/>
          <w:b/>
          <w:i w:val="0"/>
          <w:color w:val="8A6D00"/>
          <w:sz w:val="28"/>
        </w:rPr>
        <w:t>Caveats</w:t>
      </w:r>
      <w:bookmarkEnd w:id="106"/>
    </w:p>
    <w:p>
      <w:pPr>
        <w:spacing w:before="0" w:after="40" w:line="276" w:lineRule="auto"/>
      </w:pPr>
      <w:r>
        <w:rPr>
          <w:rFonts w:ascii="Calibri" w:hAnsi="Calibri"/>
          <w:b w:val="0"/>
          <w:i/>
          <w:color w:val="555555"/>
          <w:sz w:val="20"/>
        </w:rPr>
        <w:t>Hold these in mind. Material; several work in opposing directions.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CLASS Import needs the TAX cost base export.</w:t>
      </w:r>
      <w:r>
        <w:rPr>
          <w:rFonts w:ascii="Calibri" w:hAnsi="Calibri"/>
          <w:b w:val="0"/>
          <w:i w:val="0"/>
          <w:sz w:val="20"/>
        </w:rPr>
        <w:t xml:space="preserve"> — An Accounting-basis export looks identical in CSV but silently overstates cost bases for trusts, ETFs, and managed funds — wrong tax. Negative tax cost bases are passed through and flagged (possible CGT event E4).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Prior-year carry-forward capital losses NOT modelled.</w:t>
      </w:r>
      <w:r>
        <w:rPr>
          <w:rFonts w:ascii="Calibri" w:hAnsi="Calibri"/>
          <w:b w:val="0"/>
          <w:i w:val="0"/>
          <w:sz w:val="20"/>
        </w:rPr>
        <w:t xml:space="preserve"> — Apply prior-year carry-forward outside the model.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Pension phase NOT modelled.</w:t>
      </w:r>
      <w:r>
        <w:rPr>
          <w:rFonts w:ascii="Calibri" w:hAnsi="Calibri"/>
          <w:b w:val="0"/>
          <w:i w:val="0"/>
          <w:sz w:val="20"/>
        </w:rPr>
        <w:t xml:space="preserve"> — Assumes 100% accumulation. Overstates Ord CGT for pension members.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Reset-OFF scenario is realised-only.</w:t>
      </w:r>
      <w:r>
        <w:rPr>
          <w:rFonts w:ascii="Calibri" w:hAnsi="Calibri"/>
          <w:b w:val="0"/>
          <w:i w:val="0"/>
          <w:sz w:val="20"/>
        </w:rPr>
        <w:t xml:space="preserve"> — Under enacted Div 296, no-reset earnings are assessed on year-on-year TSB movement (realised + unrealised). Comparison understates the no-reset burden.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Multi-member splits are TSB-proportional.</w:t>
      </w:r>
      <w:r>
        <w:rPr>
          <w:rFonts w:ascii="Calibri" w:hAnsi="Calibri"/>
          <w:b w:val="0"/>
          <w:i w:val="0"/>
          <w:sz w:val="20"/>
        </w:rPr>
        <w:t xml:space="preserve"> — Real funds use an actuarial certificate on time-weighted balances.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Wash sale / Part IVA risk.</w:t>
      </w:r>
      <w:r>
        <w:rPr>
          <w:rFonts w:ascii="Calibri" w:hAnsi="Calibri"/>
          <w:b w:val="0"/>
          <w:i w:val="0"/>
          <w:sz w:val="20"/>
        </w:rPr>
        <w:t xml:space="preserve"> — Pre-30 June 2026 disposals purely for tax sit in anti-avoidance territory (TR 2008/1, Part IVA).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Transaction costs not modelled.</w:t>
      </w:r>
      <w:r>
        <w:rPr>
          <w:rFonts w:ascii="Calibri" w:hAnsi="Calibri"/>
          <w:b w:val="0"/>
          <w:i w:val="0"/>
          <w:sz w:val="20"/>
        </w:rPr>
        <w:t xml:space="preserve"> — Brokerage, stamp duty, liquidity drag, market-timing excluded.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Sheet protection is tamper-evident, not tamper-proof.</w:t>
      </w:r>
      <w:r>
        <w:rPr>
          <w:rFonts w:ascii="Calibri" w:hAnsi="Calibri"/>
          <w:b w:val="0"/>
          <w:i w:val="0"/>
          <w:sz w:val="20"/>
        </w:rPr>
        <w:t xml:space="preserve"> — Passwordless. Prevents accidental overwrites only.</w:t>
      </w:r>
    </w:p>
    <w:p>
      <w:bookmarkStart w:id="107" w:name="qs_troubleshooting"/>
      <w:pPr>
        <w:pStyle w:val="Heading1"/>
        <w:spacing w:before="80" w:after="40"/>
        <w:pBdr>
          <w:left w:val="single" w:sz="32" w:space="8" w:color="A61B1B"/>
        </w:pBdr>
      </w:pPr>
      <w:r>
        <w:rPr>
          <w:rFonts w:ascii="Calibri" w:hAnsi="Calibri"/>
          <w:b/>
          <w:i w:val="0"/>
          <w:color w:val="A61B1B"/>
          <w:sz w:val="28"/>
        </w:rPr>
        <w:t>Troubleshooting</w:t>
      </w:r>
      <w:bookmarkEnd w:id="107"/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val="clear" w:color="auto" w:fill="A61B1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You see</w:t>
            </w:r>
          </w:p>
        </w:tc>
        <w:tc>
          <w:tcPr>
            <w:tcW w:type="dxa" w:w="3551"/>
            <w:shd w:val="clear" w:color="auto" w:fill="A61B1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it means</w:t>
            </w:r>
          </w:p>
        </w:tc>
        <w:tc>
          <w:tcPr>
            <w:tcW w:type="dxa" w:w="3551"/>
            <w:shd w:val="clear" w:color="auto" w:fill="A61B1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 this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Yellow ‘Sample data preloaded’ badge persists.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Sample input (P1/S1/L1 or seeded TSBs) still present.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Overwrite every sample cell on Inputs.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Red banner: proceeds without 30 Jun 2026 value.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Those rows excluded from every figure.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Fill column E, or clear column G.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Red banner: formulas in the register.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Non-values paste left live formulas in register cells.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Ctrl+Z to undo, then Paste-Special &gt; Values.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TSB diagnostic banner is deep amber.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At least one member's TSB exceeds $10m — 25% above-$10m tier applies.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Read Comparison for impact. No input change.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Per-asset Ord CGT (col G) doesn't sum to Reconciliation Ord CGT.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Correct — loss netting at fund level (s102-5), not per asset.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Rely on Reconciliation.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CLASS Import: red EXAMPLE DATA STILL PRESENT banner.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Demo rows weren't cleared from the paste zone before pasting.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Select A7:R56 on CLASS Import, Delete, re-paste your CLASS export.</w:t>
            </w:r>
          </w:p>
        </w:tc>
      </w:tr>
    </w:tbl>
    <w:p>
      <w:pPr>
        <w:spacing w:before="0" w:after="0"/>
      </w:pPr>
      <w:r>
        <w:br w:type="page"/>
      </w:r>
    </w:p>
    <w:p>
      <w:bookmarkStart w:id="108" w:name="qs_cheatsheet"/>
      <w:pPr>
        <w:pStyle w:val="Heading1"/>
        <w:spacing w:before="80" w:after="40"/>
        <w:pBdr>
          <w:left w:val="single" w:sz="32" w:space="8" w:color="1D3B34"/>
        </w:pBdr>
      </w:pPr>
      <w:r>
        <w:rPr>
          <w:rFonts w:ascii="Calibri" w:hAnsi="Calibri"/>
          <w:b/>
          <w:i w:val="0"/>
          <w:color w:val="1D3B34"/>
          <w:sz w:val="28"/>
        </w:rPr>
        <w:t>Cheat sheet</w:t>
      </w:r>
      <w:bookmarkEnd w:id="108"/>
    </w:p>
    <w:p>
      <w:pPr>
        <w:spacing w:before="0" w:after="40" w:line="276" w:lineRule="auto"/>
      </w:pPr>
      <w:r>
        <w:rPr>
          <w:rFonts w:ascii="Calibri" w:hAnsi="Calibri"/>
          <w:b w:val="0"/>
          <w:i/>
          <w:color w:val="555555"/>
          <w:sz w:val="20"/>
        </w:rPr>
        <w:t>Tear-off reference. Keep next to the workbook.</w:t>
      </w:r>
    </w:p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Inputs columns at a glance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A · Asset code (free text)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B · Asset name (free text)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C · Original cost base (ordinary CGT basis — unchanged by reset)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D · Current market value (context only)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E · MV @ 30 Jun 2026 (load-bearing — Div 296 basis under reset)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F · Valuation source / date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G · Projected sale proceeds (blank → row excluded)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H · Projected gain/loss (locked formula — do not edit)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I · Held &gt; 12 months? (drives 1/3 CGT discount)</w:t>
      </w:r>
    </w:p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CLASS Import workflow (5 steps)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Export Investment Summary Report from CLASS — TAX Cost Base basis.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On CLASS Import tab: select A7:R56, Delete (clear demo data).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Paste CLASS rows into A7 onwards.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Copy mapped block T7:Z56 (cols A:G).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Inputs!A16 → Paste-Special &gt; Values. Fill E/F/G/I by hand.</w:t>
      </w:r>
    </w:p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Banners — colour, meaning, action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Colour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Means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Do this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Yellow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Sample data still loaded.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Overwrite every sample cell.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Red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Formulas in register (Ctrl+V used).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Ctrl+Z, Paste-Special &gt; Values.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Red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Proceeds without 30 Jun 2026 value.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Fill col E or clear col G.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Amber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TSB &gt; $10m — 25% tier applies.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No action; read Comparison.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Red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CLASS Import: demo data still in paste zone.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Delete A7:R56 on CLASS Import, re-paste.</w:t>
            </w:r>
          </w:p>
        </w:tc>
      </w:tr>
    </w:tbl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Keyboard tricks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19"/>
        </w:rPr>
        <w:t>Paste-Special &gt; Values</w:t>
      </w:r>
      <w:r>
        <w:rPr>
          <w:rFonts w:ascii="Calibri" w:hAnsi="Calibri"/>
          <w:b w:val="0"/>
          <w:i w:val="0"/>
          <w:sz w:val="19"/>
        </w:rPr>
        <w:t xml:space="preserve"> — Ctrl+Alt+V then V — only safe paste into register.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19"/>
        </w:rPr>
        <w:t>Undo</w:t>
      </w:r>
      <w:r>
        <w:rPr>
          <w:rFonts w:ascii="Calibri" w:hAnsi="Calibri"/>
          <w:b w:val="0"/>
          <w:i w:val="0"/>
          <w:sz w:val="19"/>
        </w:rPr>
        <w:t xml:space="preserve"> — Ctrl+Z — recovers from a bad paste.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19"/>
        </w:rPr>
        <w:t>Word Navigation Pane (this guide)</w:t>
      </w:r>
      <w:r>
        <w:rPr>
          <w:rFonts w:ascii="Calibri" w:hAnsi="Calibri"/>
          <w:b w:val="0"/>
          <w:i w:val="0"/>
          <w:sz w:val="19"/>
        </w:rPr>
        <w:t xml:space="preserve"> — View → Navigation Pane.</w:t>
      </w:r>
    </w:p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Five caveats that change numbers materially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Prior-year carry-forward losses — apply outside the model.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Pension phase — not modelled (overstates Ord CGT for pension members).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No-reset is realised-only — understates no-reset Div 296 burden.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Multi-member split is TSB-proportional, not actuarial.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Transaction costs (brokerage, stamp duty, liquidity) excluded.</w:t>
      </w:r>
    </w:p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Verifying the version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sz w:val="19"/>
        </w:rPr>
        <w:t>Notes tab → unhide rows immediately below the valuation log to see build_version, build_date, git_short_sha.</w:t>
      </w:r>
    </w:p>
    <w:sectPr w:rsidR="00FC693F" w:rsidRPr="0006063C" w:rsidSect="00034616">
      <w:headerReference w:type="default" r:id="rId9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/>
        <w:color w:val="555555"/>
        <w:sz w:val="16"/>
      </w:rPr>
      <w:t>Full Edition  ·  v3.4.0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