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center"/>
        <w:rPr/>
      </w:pPr>
      <w:r>
        <w:rPr/>
        <w:t>Team Assessment Profile</w:t>
      </w:r>
    </w:p>
    <w:p>
      <w:pPr>
        <w:pStyle w:val="Normal"/>
        <w:spacing w:lineRule="auto" w:line="259" w:before="0" w:after="0"/>
        <w:ind w:hanging="0" w:left="0"/>
        <w:rPr/>
      </w:pPr>
      <w:r>
        <w:rPr/>
      </w:r>
    </w:p>
    <w:tbl>
      <w:tblPr>
        <w:tblStyle w:val="TableGrid0"/>
        <w:tblW w:w="96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1"/>
        <w:gridCol w:w="1563"/>
        <w:gridCol w:w="1832"/>
        <w:gridCol w:w="3543"/>
      </w:tblGrid>
      <w:tr>
        <w:trPr>
          <w:tblHeader w:val="true"/>
        </w:trPr>
        <w:tc>
          <w:tcPr>
            <w:tcW w:w="2681" w:type="dxa"/>
            <w:tcBorders/>
          </w:tcPr>
          <w:p>
            <w:pPr>
              <w:pStyle w:val="Normal"/>
              <w:widowControl/>
              <w:suppressAutoHyphens w:val="true"/>
              <w:spacing w:before="0" w:after="27"/>
              <w:jc w:val="left"/>
              <w:rPr>
                <w:b/>
              </w:rPr>
            </w:pPr>
            <w:r>
              <w:rPr>
                <w:b/>
                <w:kern w:val="0"/>
                <w:szCs w:val="22"/>
                <w:lang w:val="en-GB" w:eastAsia="en-US" w:bidi="ar-SA"/>
              </w:rPr>
              <w:t>Student name (PRINT)</w:t>
            </w:r>
          </w:p>
        </w:tc>
        <w:tc>
          <w:tcPr>
            <w:tcW w:w="1563" w:type="dxa"/>
            <w:tcBorders/>
          </w:tcPr>
          <w:p>
            <w:pPr>
              <w:pStyle w:val="Normal"/>
              <w:widowControl/>
              <w:suppressAutoHyphens w:val="true"/>
              <w:spacing w:before="0" w:after="27"/>
              <w:jc w:val="left"/>
              <w:rPr>
                <w:b/>
              </w:rPr>
            </w:pPr>
            <w:r>
              <w:rPr>
                <w:b/>
                <w:kern w:val="0"/>
                <w:szCs w:val="22"/>
                <w:lang w:val="en-GB" w:eastAsia="en-US" w:bidi="ar-SA"/>
              </w:rPr>
              <w:t>Contribution (Total work 100%)</w:t>
            </w:r>
          </w:p>
        </w:tc>
        <w:tc>
          <w:tcPr>
            <w:tcW w:w="1832" w:type="dxa"/>
            <w:tcBorders/>
          </w:tcPr>
          <w:p>
            <w:pPr>
              <w:pStyle w:val="Normal"/>
              <w:widowControl/>
              <w:suppressAutoHyphens w:val="true"/>
              <w:spacing w:before="0" w:after="27"/>
              <w:jc w:val="left"/>
              <w:rPr>
                <w:b/>
              </w:rPr>
            </w:pPr>
            <w:r>
              <w:rPr>
                <w:b/>
                <w:kern w:val="0"/>
                <w:szCs w:val="22"/>
                <w:lang w:val="en-GB" w:eastAsia="en-US" w:bidi="ar-SA"/>
              </w:rPr>
              <w:t>Student (digital) signature</w:t>
            </w:r>
          </w:p>
        </w:tc>
        <w:tc>
          <w:tcPr>
            <w:tcW w:w="3543" w:type="dxa"/>
            <w:tcBorders/>
          </w:tcPr>
          <w:p>
            <w:pPr>
              <w:pStyle w:val="Normal"/>
              <w:widowControl/>
              <w:suppressAutoHyphens w:val="true"/>
              <w:spacing w:before="0" w:after="27"/>
              <w:jc w:val="left"/>
              <w:rPr>
                <w:b/>
              </w:rPr>
            </w:pPr>
            <w:r>
              <w:rPr>
                <w:b/>
                <w:kern w:val="0"/>
                <w:szCs w:val="22"/>
                <w:lang w:val="en-GB" w:eastAsia="en-US" w:bidi="ar-SA"/>
              </w:rPr>
              <w:t>Design and implementation tasks*</w:t>
            </w:r>
          </w:p>
        </w:tc>
      </w:tr>
      <w:tr>
        <w:trPr/>
        <w:tc>
          <w:tcPr>
            <w:tcW w:w="2681"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t>DAVID DEAN</w:t>
            </w:r>
          </w:p>
        </w:tc>
        <w:tc>
          <w:tcPr>
            <w:tcW w:w="1563" w:type="dxa"/>
            <w:tcBorders/>
          </w:tcPr>
          <w:p>
            <w:pPr>
              <w:pStyle w:val="Normal"/>
              <w:widowControl/>
              <w:suppressAutoHyphens w:val="true"/>
              <w:spacing w:before="0" w:after="27"/>
              <w:jc w:val="center"/>
              <w:rPr>
                <w:kern w:val="0"/>
                <w:szCs w:val="22"/>
                <w:lang w:val="en-GB" w:eastAsia="en-US" w:bidi="ar-SA"/>
              </w:rPr>
            </w:pPr>
            <w:r>
              <w:rPr>
                <w:kern w:val="0"/>
                <w:szCs w:val="22"/>
                <w:lang w:val="en-GB" w:eastAsia="en-US" w:bidi="ar-SA"/>
              </w:rPr>
              <w:t>[21.25%]</w:t>
            </w:r>
          </w:p>
        </w:tc>
        <w:tc>
          <w:tcPr>
            <w:tcW w:w="1832"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w:t>
            </w:r>
            <w:r>
              <w:rPr>
                <w:szCs w:val="22"/>
                <w:lang w:bidi="ar-SA"/>
              </w:rPr>
              <w:t xml:space="preserve"> (</w:t>
            </w:r>
            <w:r>
              <w:rPr>
                <w:szCs w:val="22"/>
                <w:lang w:bidi="ar-SA"/>
              </w:rPr>
              <w:t>21.25</w:t>
            </w:r>
            <w:r>
              <w:rPr>
                <w:szCs w:val="22"/>
                <w:lang w:bidi="ar-SA"/>
              </w:rPr>
              <w:t>%)</w:t>
            </w:r>
          </w:p>
          <w:p>
            <w:pPr>
              <w:pStyle w:val="ListParagraph"/>
              <w:widowControl/>
              <w:numPr>
                <w:ilvl w:val="0"/>
                <w:numId w:val="1"/>
              </w:numPr>
              <w:suppressAutoHyphens w:val="true"/>
              <w:spacing w:before="0" w:after="0"/>
              <w:contextualSpacing/>
              <w:jc w:val="left"/>
              <w:rPr>
                <w:szCs w:val="22"/>
                <w:lang w:bidi="ar-SA"/>
              </w:rPr>
            </w:pPr>
            <w:r>
              <w:rPr/>
              <w:t>Mock-up</w:t>
            </w:r>
            <w:r>
              <w:rPr/>
              <w:t xml:space="preserve"> (</w:t>
            </w:r>
            <w:r>
              <w:rPr>
                <w:szCs w:val="22"/>
                <w:lang w:bidi="ar-SA"/>
              </w:rPr>
              <w:t>21.25</w:t>
            </w:r>
            <w:r>
              <w:rPr/>
              <w:t>%)</w:t>
            </w:r>
          </w:p>
        </w:tc>
      </w:tr>
      <w:tr>
        <w:trPr/>
        <w:tc>
          <w:tcPr>
            <w:tcW w:w="2681" w:type="dxa"/>
            <w:tcBorders/>
          </w:tcPr>
          <w:p>
            <w:pPr>
              <w:pStyle w:val="Normal"/>
              <w:widowControl/>
              <w:suppressAutoHyphens w:val="true"/>
              <w:bidi w:val="0"/>
              <w:spacing w:lineRule="auto" w:line="252" w:before="0" w:after="27"/>
              <w:ind w:hanging="10" w:left="10"/>
              <w:jc w:val="left"/>
              <w:rPr/>
            </w:pPr>
            <w:r>
              <w:rPr/>
              <w:t>JACOB CORBETT</w:t>
            </w:r>
          </w:p>
        </w:tc>
        <w:tc>
          <w:tcPr>
            <w:tcW w:w="1563" w:type="dxa"/>
            <w:tcBorders/>
          </w:tcPr>
          <w:p>
            <w:pPr>
              <w:pStyle w:val="Normal"/>
              <w:widowControl/>
              <w:suppressAutoHyphens w:val="true"/>
              <w:spacing w:before="0" w:after="27"/>
              <w:jc w:val="center"/>
              <w:rPr>
                <w:kern w:val="0"/>
                <w:szCs w:val="22"/>
                <w:lang w:val="en-GB" w:eastAsia="en-US" w:bidi="ar-SA"/>
              </w:rPr>
            </w:pPr>
            <w:r>
              <w:rPr>
                <w:kern w:val="0"/>
                <w:szCs w:val="22"/>
                <w:lang w:val="en-GB" w:eastAsia="en-US" w:bidi="ar-SA"/>
              </w:rPr>
              <w:t>[21.25%]</w:t>
            </w:r>
          </w:p>
        </w:tc>
        <w:tc>
          <w:tcPr>
            <w:tcW w:w="1832"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w:t>
            </w:r>
            <w:r>
              <w:rPr>
                <w:szCs w:val="22"/>
                <w:lang w:bidi="ar-SA"/>
              </w:rPr>
              <w:t xml:space="preserve"> (</w:t>
            </w:r>
            <w:r>
              <w:rPr>
                <w:szCs w:val="22"/>
                <w:lang w:bidi="ar-SA"/>
              </w:rPr>
              <w:t>21.25</w:t>
            </w:r>
            <w:r>
              <w:rPr>
                <w:szCs w:val="22"/>
                <w:lang w:bidi="ar-SA"/>
              </w:rPr>
              <w:t>%)</w:t>
            </w:r>
          </w:p>
          <w:p>
            <w:pPr>
              <w:pStyle w:val="ListParagraph"/>
              <w:widowControl/>
              <w:numPr>
                <w:ilvl w:val="0"/>
                <w:numId w:val="1"/>
              </w:numPr>
              <w:suppressAutoHyphens w:val="true"/>
              <w:spacing w:before="0" w:after="0"/>
              <w:contextualSpacing/>
              <w:jc w:val="left"/>
              <w:rPr>
                <w:szCs w:val="22"/>
                <w:lang w:bidi="ar-SA"/>
              </w:rPr>
            </w:pPr>
            <w:r>
              <w:rPr>
                <w:szCs w:val="22"/>
                <w:lang w:bidi="ar-SA"/>
              </w:rPr>
              <w:t>Mock-up</w:t>
            </w:r>
            <w:r>
              <w:rPr>
                <w:szCs w:val="22"/>
                <w:lang w:bidi="ar-SA"/>
              </w:rPr>
              <w:t xml:space="preserve"> (</w:t>
            </w:r>
            <w:r>
              <w:rPr>
                <w:szCs w:val="22"/>
                <w:lang w:bidi="ar-SA"/>
              </w:rPr>
              <w:t xml:space="preserve">21.25 </w:t>
            </w:r>
            <w:r>
              <w:rPr>
                <w:szCs w:val="22"/>
                <w:lang w:bidi="ar-SA"/>
              </w:rPr>
              <w:t>%)</w:t>
            </w:r>
          </w:p>
        </w:tc>
      </w:tr>
      <w:tr>
        <w:trPr/>
        <w:tc>
          <w:tcPr>
            <w:tcW w:w="2681"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t>AIDEN KERR</w:t>
            </w:r>
          </w:p>
        </w:tc>
        <w:tc>
          <w:tcPr>
            <w:tcW w:w="1563" w:type="dxa"/>
            <w:tcBorders/>
          </w:tcPr>
          <w:p>
            <w:pPr>
              <w:pStyle w:val="Normal"/>
              <w:widowControl/>
              <w:suppressAutoHyphens w:val="true"/>
              <w:spacing w:before="0" w:after="27"/>
              <w:jc w:val="center"/>
              <w:rPr>
                <w:kern w:val="0"/>
                <w:szCs w:val="22"/>
                <w:lang w:val="en-GB" w:eastAsia="en-US" w:bidi="ar-SA"/>
              </w:rPr>
            </w:pPr>
            <w:r>
              <w:rPr>
                <w:kern w:val="0"/>
                <w:szCs w:val="22"/>
                <w:lang w:val="en-GB" w:eastAsia="en-US" w:bidi="ar-SA"/>
              </w:rPr>
              <w:t>[21.25%]</w:t>
            </w:r>
          </w:p>
        </w:tc>
        <w:tc>
          <w:tcPr>
            <w:tcW w:w="1832"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w:t>
            </w:r>
            <w:r>
              <w:rPr>
                <w:szCs w:val="22"/>
                <w:lang w:bidi="ar-SA"/>
              </w:rPr>
              <w:t xml:space="preserve"> (</w:t>
            </w:r>
            <w:r>
              <w:rPr>
                <w:szCs w:val="22"/>
                <w:lang w:bidi="ar-SA"/>
              </w:rPr>
              <w:t>21.25</w:t>
            </w:r>
            <w:r>
              <w:rPr>
                <w:szCs w:val="22"/>
                <w:lang w:bidi="ar-SA"/>
              </w:rPr>
              <w:t>%)</w:t>
            </w:r>
          </w:p>
          <w:p>
            <w:pPr>
              <w:pStyle w:val="ListParagraph"/>
              <w:widowControl/>
              <w:numPr>
                <w:ilvl w:val="0"/>
                <w:numId w:val="1"/>
              </w:numPr>
              <w:suppressAutoHyphens w:val="true"/>
              <w:spacing w:before="0" w:after="0"/>
              <w:contextualSpacing/>
              <w:jc w:val="left"/>
              <w:rPr>
                <w:szCs w:val="22"/>
                <w:lang w:bidi="ar-SA"/>
              </w:rPr>
            </w:pPr>
            <w:r>
              <w:rPr/>
              <w:t>Mock-up</w:t>
            </w:r>
            <w:r>
              <w:rPr/>
              <w:t xml:space="preserve"> (</w:t>
            </w:r>
            <w:r>
              <w:rPr>
                <w:szCs w:val="22"/>
                <w:lang w:bidi="ar-SA"/>
              </w:rPr>
              <w:t>21.25</w:t>
            </w:r>
            <w:r>
              <w:rPr/>
              <w:t>%)</w:t>
            </w:r>
          </w:p>
        </w:tc>
      </w:tr>
      <w:tr>
        <w:trPr/>
        <w:tc>
          <w:tcPr>
            <w:tcW w:w="2681"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t>SAMUEL O’HANLON</w:t>
            </w:r>
          </w:p>
        </w:tc>
        <w:tc>
          <w:tcPr>
            <w:tcW w:w="1563" w:type="dxa"/>
            <w:tcBorders/>
          </w:tcPr>
          <w:p>
            <w:pPr>
              <w:pStyle w:val="Normal"/>
              <w:widowControl/>
              <w:suppressAutoHyphens w:val="true"/>
              <w:spacing w:before="0" w:after="27"/>
              <w:jc w:val="center"/>
              <w:rPr>
                <w:kern w:val="0"/>
                <w:szCs w:val="22"/>
                <w:lang w:val="en-GB" w:eastAsia="en-US" w:bidi="ar-SA"/>
              </w:rPr>
            </w:pPr>
            <w:r>
              <w:rPr>
                <w:kern w:val="0"/>
                <w:szCs w:val="22"/>
                <w:lang w:val="en-GB" w:eastAsia="en-US" w:bidi="ar-SA"/>
              </w:rPr>
              <w:t>[21.25%]</w:t>
            </w:r>
          </w:p>
        </w:tc>
        <w:tc>
          <w:tcPr>
            <w:tcW w:w="1832" w:type="dxa"/>
            <w:tcBorders/>
          </w:tcPr>
          <w:p>
            <w:pPr>
              <w:pStyle w:val="Normal"/>
              <w:widowControl/>
              <w:suppressAutoHyphens w:val="true"/>
              <w:spacing w:before="0" w:after="27"/>
              <w:ind w:hanging="0"/>
              <w:jc w:val="left"/>
              <w:rPr>
                <w:kern w:val="0"/>
                <w:szCs w:val="22"/>
                <w:lang w:val="en-GB" w:eastAsia="en-US" w:bidi="ar-SA"/>
              </w:rPr>
            </w:pPr>
            <w:r>
              <w:rPr>
                <w:kern w:val="0"/>
                <w:szCs w:val="22"/>
                <w:lang w:val="en-GB" w:eastAsia="en-US" w:bidi="ar-SA"/>
              </w:rPr>
              <w:drawing>
                <wp:anchor behindDoc="0" distT="0" distB="0" distL="0" distR="0" simplePos="0" locked="0" layoutInCell="0" allowOverlap="1" relativeHeight="2">
                  <wp:simplePos x="0" y="0"/>
                  <wp:positionH relativeFrom="column">
                    <wp:posOffset>81915</wp:posOffset>
                  </wp:positionH>
                  <wp:positionV relativeFrom="paragraph">
                    <wp:posOffset>88900</wp:posOffset>
                  </wp:positionV>
                  <wp:extent cx="800735" cy="441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00735" cy="441325"/>
                          </a:xfrm>
                          <a:prstGeom prst="rect">
                            <a:avLst/>
                          </a:prstGeom>
                          <a:noFill/>
                        </pic:spPr>
                      </pic:pic>
                    </a:graphicData>
                  </a:graphic>
                </wp:anchor>
              </w:drawing>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w:t>
            </w:r>
            <w:r>
              <w:rPr>
                <w:szCs w:val="22"/>
                <w:lang w:bidi="ar-SA"/>
              </w:rPr>
              <w:t xml:space="preserve"> (</w:t>
            </w:r>
            <w:r>
              <w:rPr>
                <w:szCs w:val="22"/>
                <w:lang w:bidi="ar-SA"/>
              </w:rPr>
              <w:t>21.25</w:t>
            </w:r>
            <w:r>
              <w:rPr>
                <w:szCs w:val="22"/>
                <w:lang w:bidi="ar-SA"/>
              </w:rPr>
              <w:t>%)</w:t>
            </w:r>
          </w:p>
          <w:p>
            <w:pPr>
              <w:pStyle w:val="ListParagraph"/>
              <w:widowControl/>
              <w:numPr>
                <w:ilvl w:val="0"/>
                <w:numId w:val="1"/>
              </w:numPr>
              <w:suppressAutoHyphens w:val="true"/>
              <w:spacing w:before="0" w:after="0"/>
              <w:contextualSpacing/>
              <w:jc w:val="left"/>
              <w:rPr>
                <w:szCs w:val="22"/>
                <w:lang w:bidi="ar-SA"/>
              </w:rPr>
            </w:pPr>
            <w:r>
              <w:rPr/>
              <w:t>Mock-up</w:t>
            </w:r>
            <w:r>
              <w:rPr/>
              <w:t xml:space="preserve"> (</w:t>
            </w:r>
            <w:r>
              <w:rPr>
                <w:szCs w:val="22"/>
                <w:lang w:bidi="ar-SA"/>
              </w:rPr>
              <w:t>21.25</w:t>
            </w:r>
            <w:r>
              <w:rPr/>
              <w:t>%)</w:t>
            </w:r>
          </w:p>
        </w:tc>
      </w:tr>
      <w:tr>
        <w:trPr/>
        <w:tc>
          <w:tcPr>
            <w:tcW w:w="2681"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t>TOLUWANIMI ADEYEMO</w:t>
            </w:r>
          </w:p>
        </w:tc>
        <w:tc>
          <w:tcPr>
            <w:tcW w:w="1563" w:type="dxa"/>
            <w:tcBorders/>
          </w:tcPr>
          <w:p>
            <w:pPr>
              <w:pStyle w:val="Normal"/>
              <w:widowControl/>
              <w:suppressAutoHyphens w:val="true"/>
              <w:spacing w:before="0" w:after="27"/>
              <w:jc w:val="center"/>
              <w:rPr>
                <w:sz w:val="26"/>
                <w:szCs w:val="24"/>
              </w:rPr>
            </w:pPr>
            <w:r>
              <w:rPr>
                <w:kern w:val="0"/>
                <w:szCs w:val="22"/>
                <w:lang w:val="en-GB" w:eastAsia="en-US" w:bidi="ar-SA"/>
              </w:rPr>
              <w:t>[%]</w:t>
            </w:r>
          </w:p>
        </w:tc>
        <w:tc>
          <w:tcPr>
            <w:tcW w:w="1832"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w:t>
            </w:r>
            <w:r>
              <w:rPr>
                <w:szCs w:val="22"/>
                <w:lang w:bidi="ar-SA"/>
              </w:rPr>
              <w:t xml:space="preserve"> (%)</w:t>
            </w:r>
          </w:p>
          <w:p>
            <w:pPr>
              <w:pStyle w:val="ListParagraph"/>
              <w:widowControl/>
              <w:numPr>
                <w:ilvl w:val="0"/>
                <w:numId w:val="1"/>
              </w:numPr>
              <w:suppressAutoHyphens w:val="true"/>
              <w:spacing w:before="0" w:after="0"/>
              <w:contextualSpacing/>
              <w:jc w:val="left"/>
              <w:rPr>
                <w:szCs w:val="22"/>
                <w:lang w:bidi="ar-SA"/>
              </w:rPr>
            </w:pPr>
            <w:r>
              <w:rPr/>
              <w:t>Mock-up</w:t>
            </w:r>
            <w:r>
              <w:rPr/>
              <w:t xml:space="preserve"> (%)</w:t>
            </w:r>
          </w:p>
        </w:tc>
      </w:tr>
      <w:tr>
        <w:trPr/>
        <w:tc>
          <w:tcPr>
            <w:tcW w:w="2681"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t>LUKE SHERRINGTON</w:t>
            </w:r>
          </w:p>
        </w:tc>
        <w:tc>
          <w:tcPr>
            <w:tcW w:w="1563" w:type="dxa"/>
            <w:tcBorders/>
          </w:tcPr>
          <w:p>
            <w:pPr>
              <w:pStyle w:val="Normal"/>
              <w:widowControl/>
              <w:suppressAutoHyphens w:val="true"/>
              <w:spacing w:before="0" w:after="27"/>
              <w:jc w:val="center"/>
              <w:rPr>
                <w:kern w:val="0"/>
                <w:szCs w:val="22"/>
                <w:lang w:val="en-GB" w:eastAsia="en-US" w:bidi="ar-SA"/>
              </w:rPr>
            </w:pPr>
            <w:r>
              <w:rPr>
                <w:kern w:val="0"/>
                <w:szCs w:val="22"/>
                <w:lang w:val="en-GB" w:eastAsia="en-US" w:bidi="ar-SA"/>
              </w:rPr>
              <w:t>[%]</w:t>
            </w:r>
          </w:p>
        </w:tc>
        <w:tc>
          <w:tcPr>
            <w:tcW w:w="1832"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w:t>
            </w:r>
            <w:r>
              <w:rPr>
                <w:szCs w:val="22"/>
                <w:lang w:bidi="ar-SA"/>
              </w:rPr>
              <w:t xml:space="preserve"> (%)</w:t>
            </w:r>
          </w:p>
          <w:p>
            <w:pPr>
              <w:pStyle w:val="ListParagraph"/>
              <w:widowControl/>
              <w:numPr>
                <w:ilvl w:val="0"/>
                <w:numId w:val="1"/>
              </w:numPr>
              <w:suppressAutoHyphens w:val="true"/>
              <w:spacing w:before="0" w:after="0"/>
              <w:contextualSpacing/>
              <w:jc w:val="left"/>
              <w:rPr>
                <w:szCs w:val="22"/>
                <w:lang w:bidi="ar-SA"/>
              </w:rPr>
            </w:pPr>
            <w:r>
              <w:rPr>
                <w:szCs w:val="22"/>
                <w:lang w:bidi="ar-SA"/>
              </w:rPr>
              <w:t>Mock-up</w:t>
            </w:r>
            <w:r>
              <w:rPr>
                <w:szCs w:val="22"/>
                <w:lang w:bidi="ar-SA"/>
              </w:rPr>
              <w:t xml:space="preserve"> (%)</w:t>
            </w:r>
          </w:p>
        </w:tc>
      </w:tr>
      <w:tr>
        <w:trPr/>
        <w:tc>
          <w:tcPr>
            <w:tcW w:w="2681"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t xml:space="preserve">ROKAS </w:t>
            </w:r>
            <w:r>
              <w:rPr/>
              <w:t>MATULEVICIUS</w:t>
            </w:r>
          </w:p>
        </w:tc>
        <w:tc>
          <w:tcPr>
            <w:tcW w:w="1563" w:type="dxa"/>
            <w:tcBorders/>
          </w:tcPr>
          <w:p>
            <w:pPr>
              <w:pStyle w:val="Normal"/>
              <w:widowControl/>
              <w:suppressAutoHyphens w:val="true"/>
              <w:spacing w:before="0" w:after="27"/>
              <w:jc w:val="center"/>
              <w:rPr>
                <w:kern w:val="0"/>
                <w:szCs w:val="22"/>
                <w:lang w:val="en-GB" w:eastAsia="en-US" w:bidi="ar-SA"/>
              </w:rPr>
            </w:pPr>
            <w:r>
              <w:rPr>
                <w:kern w:val="0"/>
                <w:szCs w:val="22"/>
                <w:lang w:val="en-GB" w:eastAsia="en-US" w:bidi="ar-SA"/>
              </w:rPr>
              <w:t>[%]</w:t>
            </w:r>
          </w:p>
        </w:tc>
        <w:tc>
          <w:tcPr>
            <w:tcW w:w="1832"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w:t>
            </w:r>
            <w:r>
              <w:rPr>
                <w:szCs w:val="22"/>
                <w:lang w:bidi="ar-SA"/>
              </w:rPr>
              <w:t xml:space="preserve"> (%)</w:t>
            </w:r>
          </w:p>
          <w:p>
            <w:pPr>
              <w:pStyle w:val="ListParagraph"/>
              <w:widowControl/>
              <w:numPr>
                <w:ilvl w:val="0"/>
                <w:numId w:val="1"/>
              </w:numPr>
              <w:suppressAutoHyphens w:val="true"/>
              <w:spacing w:before="0" w:after="0"/>
              <w:contextualSpacing/>
              <w:jc w:val="left"/>
              <w:rPr>
                <w:szCs w:val="22"/>
                <w:lang w:bidi="ar-SA"/>
              </w:rPr>
            </w:pPr>
            <w:r>
              <w:rPr/>
              <w:t>Mock-up</w:t>
            </w:r>
            <w:r>
              <w:rPr/>
              <w:t xml:space="preserve"> (%)</w:t>
            </w:r>
          </w:p>
        </w:tc>
      </w:tr>
      <w:tr>
        <w:trPr/>
        <w:tc>
          <w:tcPr>
            <w:tcW w:w="2681" w:type="dxa"/>
            <w:tcBorders/>
          </w:tcPr>
          <w:p>
            <w:pPr>
              <w:pStyle w:val="Normal"/>
              <w:widowControl/>
              <w:suppressAutoHyphens w:val="true"/>
              <w:spacing w:before="0" w:after="27"/>
              <w:jc w:val="left"/>
              <w:rPr>
                <w:b/>
              </w:rPr>
            </w:pPr>
            <w:r>
              <w:rPr>
                <w:b/>
                <w:kern w:val="0"/>
                <w:szCs w:val="22"/>
                <w:lang w:val="en-GB" w:eastAsia="en-US" w:bidi="ar-SA"/>
              </w:rPr>
              <w:t>Total</w:t>
            </w:r>
          </w:p>
        </w:tc>
        <w:tc>
          <w:tcPr>
            <w:tcW w:w="1563" w:type="dxa"/>
            <w:tcBorders/>
          </w:tcPr>
          <w:p>
            <w:pPr>
              <w:pStyle w:val="Normal"/>
              <w:widowControl/>
              <w:suppressAutoHyphens w:val="true"/>
              <w:spacing w:before="0" w:after="27"/>
              <w:jc w:val="center"/>
              <w:rPr>
                <w:b/>
              </w:rPr>
            </w:pPr>
            <w:r>
              <w:rPr>
                <w:b/>
                <w:kern w:val="0"/>
                <w:szCs w:val="22"/>
                <w:lang w:val="en-GB" w:eastAsia="en-US" w:bidi="ar-SA"/>
              </w:rPr>
              <w:t>85</w:t>
            </w:r>
            <w:r>
              <w:rPr>
                <w:b/>
                <w:kern w:val="0"/>
                <w:szCs w:val="22"/>
                <w:lang w:val="en-GB" w:eastAsia="en-US" w:bidi="ar-SA"/>
              </w:rPr>
              <w:t>%</w:t>
            </w:r>
          </w:p>
        </w:tc>
        <w:tc>
          <w:tcPr>
            <w:tcW w:w="1832" w:type="dxa"/>
            <w:tcBorders/>
          </w:tcPr>
          <w:p>
            <w:pPr>
              <w:pStyle w:val="Normal"/>
              <w:widowControl/>
              <w:suppressAutoHyphens w:val="true"/>
              <w:spacing w:before="0" w:after="27"/>
              <w:jc w:val="left"/>
              <w:rPr>
                <w:b/>
              </w:rPr>
            </w:pPr>
            <w:r>
              <w:rPr>
                <w:b/>
              </w:rPr>
            </w:r>
          </w:p>
        </w:tc>
        <w:tc>
          <w:tcPr>
            <w:tcW w:w="3543" w:type="dxa"/>
            <w:tcBorders/>
          </w:tcPr>
          <w:p>
            <w:pPr>
              <w:pStyle w:val="Normal"/>
              <w:widowControl/>
              <w:suppressAutoHyphens w:val="true"/>
              <w:spacing w:before="0" w:after="27"/>
              <w:jc w:val="left"/>
              <w:rPr>
                <w:b/>
              </w:rPr>
            </w:pPr>
            <w:r>
              <w:rPr>
                <w:b/>
                <w:kern w:val="0"/>
                <w:szCs w:val="22"/>
                <w:lang w:val="en-GB" w:eastAsia="en-US" w:bidi="ar-SA"/>
              </w:rPr>
              <w:t>*Where tasks were performed by two or more, state ratio of contribution after each task.</w:t>
            </w:r>
          </w:p>
        </w:tc>
      </w:tr>
    </w:tbl>
    <w:p>
      <w:pPr>
        <w:pStyle w:val="Normal"/>
        <w:spacing w:lineRule="auto" w:line="259" w:before="0" w:after="0"/>
        <w:rPr/>
      </w:pPr>
      <w:r>
        <w:rPr/>
        <w:t xml:space="preserve"> </w:t>
      </w:r>
    </w:p>
    <w:p>
      <w:pPr>
        <w:pStyle w:val="Normal"/>
        <w:spacing w:lineRule="auto" w:line="247" w:before="0" w:after="4291"/>
        <w:ind w:hanging="0" w:left="0"/>
        <w:rPr>
          <w:sz w:val="22"/>
        </w:rPr>
      </w:pPr>
      <w:r>
        <w:rPr>
          <w:sz w:val="22"/>
        </w:rPr>
        <w:t xml:space="preserve">Students must ensure that ALL team members have signed this form and all agree with the declaration, before it is submitted with the coursework. </w:t>
      </w:r>
      <w:r>
        <w:rPr/>
        <w:t xml:space="preserve">In the event of disagreement, the course coordinator will have the final decision having met the team to discuss the matters of concern and reviewed the evidence provided by each team member. </w:t>
      </w:r>
      <w:r>
        <w:rPr>
          <w:color w:val="FF0000"/>
        </w:rPr>
        <w:t>Any matters of concern raised after the submission deadline will not be considered.</w:t>
      </w:r>
    </w:p>
    <w:sectPr>
      <w:type w:val="nextPage"/>
      <w:pgSz w:w="12240" w:h="15840"/>
      <w:pgMar w:left="1440" w:right="117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27"/>
      <w:ind w:hanging="10" w:left="10"/>
      <w:jc w:val="left"/>
    </w:pPr>
    <w:rPr>
      <w:rFonts w:ascii="Times New Roman" w:hAnsi="Times New Roman" w:eastAsia="Times New Roman" w:cs="Times New Roman"/>
      <w:color w:val="000000"/>
      <w:kern w:val="0"/>
      <w:sz w:val="24"/>
      <w:szCs w:val="22"/>
      <w:lang w:val="en-GB" w:eastAsia="en-GB"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0"/>
      <w:ind w:hanging="10" w:left="10"/>
      <w:jc w:val="left"/>
      <w:outlineLvl w:val="0"/>
    </w:pPr>
    <w:rPr>
      <w:rFonts w:ascii="Times New Roman" w:hAnsi="Times New Roman" w:eastAsia="Times New Roman" w:cs="Times New Roman"/>
      <w:color w:val="000000"/>
      <w:kern w:val="0"/>
      <w:sz w:val="48"/>
      <w:szCs w:val="22"/>
      <w:lang w:val="en-GB" w:eastAsia="en-GB"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color w:val="000000"/>
      <w:sz w:val="4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260cb"/>
    <w:pPr>
      <w:spacing w:lineRule="auto" w:line="240" w:before="0" w:after="0"/>
      <w:ind w:hanging="0" w:left="720"/>
      <w:contextualSpacing/>
    </w:pPr>
    <w:rPr>
      <w:rFonts w:ascii="Calibri" w:hAnsi="Calibri" w:eastAsia="Calibri" w:cs="" w:asciiTheme="minorHAnsi" w:cstheme="minorBidi" w:eastAsiaTheme="minorHAnsi" w:hAnsiTheme="minorHAnsi"/>
      <w:color w:val="auto"/>
      <w:kern w:val="2"/>
      <w:sz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260cb"/>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LibreOffice/24.8.5.2$Linux_X86_64 LibreOffice_project/27b361b745d0ea8f99bc93dfcb7a39098dfa5fff</Application>
  <AppVersion>15.0000</AppVersion>
  <Pages>1</Pages>
  <Words>167</Words>
  <Characters>875</Characters>
  <CharactersWithSpaces>992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2018-05-25T13:58:00Z</dcterms:created>
  <dc:creator>Garth Glynn</dc:creator>
  <dc:description/>
  <dc:language>en-US</dc:language>
  <cp:lastModifiedBy/>
  <dcterms:modified xsi:type="dcterms:W3CDTF">2025-03-07T15:31:49Z</dcterms:modified>
  <cp:revision>32</cp:revision>
  <dc:subject/>
  <dc:title>Information for coursework</dc:title>
</cp:coreProperties>
</file>

<file path=docProps/custom.xml><?xml version="1.0" encoding="utf-8"?>
<Properties xmlns="http://schemas.openxmlformats.org/officeDocument/2006/custom-properties" xmlns:vt="http://schemas.openxmlformats.org/officeDocument/2006/docPropsVTypes"/>
</file>