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AMUW2mWPW45X/TiAlbR1ZvHgNFMZB0nR5vaHnG/J9SJkLwRSOoW8IbMyILd4IhCXBrjFO8GYWqs5eQGg63F6GE/43TWQnCISuOvFn8OanQ6s2kpRT53yHy7BkY8kkTya6GHkCkMzT6Av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