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Hasil Eksperimen</w:t>
      </w:r>
    </w:p>
    <w:p>
      <w:r>
        <w:rPr>
          <w:b/>
        </w:rPr>
        <w:t>Analisis Algoritma LSTM untuk Prediksi Pagu Kas Harian Outlet</w:t>
      </w:r>
    </w:p>
    <w:p>
      <w:r>
        <w:rPr>
          <w:b w:val="0"/>
        </w:rPr>
        <w:t>(Studi Kasus: BNI Cabang Tebet)</w:t>
      </w:r>
    </w:p>
    <w:p>
      <w:r>
        <w:rPr>
          <w:b w:val="0"/>
        </w:rPr>
        <w:t>Tanggal eksekusi: 13 Juni 2026  |  TensorFlow 2.21.0  |  Seed: 42</w:t>
      </w:r>
    </w:p>
    <w:p>
      <w:pPr>
        <w:pStyle w:val="Heading1"/>
      </w:pPr>
      <w:r>
        <w:t>1. Setup Eksperimen</w:t>
      </w:r>
    </w:p>
    <w:p>
      <w:r>
        <w:rPr>
          <w:b w:val="0"/>
        </w:rPr>
        <w:t>Dataset: DATASETPAGU_HASIL_PREPROCESSING.xlsx, sheet 5_Data_Mentah, 353 baris data harian (15 Januari 2024 – 1 Januari 2025) setelah pembuangan 14 hari burn-in dan 1 baris tidak valid (2 Januari 2025, nilai 0).</w:t>
      </w:r>
    </w:p>
    <w:p>
      <w:r>
        <w:rPr>
          <w:b w:val="0"/>
        </w:rPr>
        <w:t>Variabel target: pagu_buka_tebet. Kolom leakage yang dibuang: pagu_tutup_tebet, pagu_cabang_28_outlet, average_outlet, average_cabang, total, average_total, status.</w:t>
      </w:r>
    </w:p>
    <w:p>
      <w:r>
        <w:rPr>
          <w:b w:val="0"/>
        </w:rPr>
        <w:t>Split kronologis 70/15/15 tanpa shuffle: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Split</w:t>
            </w:r>
          </w:p>
        </w:tc>
        <w:tc>
          <w:tcPr>
            <w:tcW w:type="dxa" w:w="2880"/>
          </w:tcPr>
          <w:p>
            <w:r>
              <w:t>Jumlah Baris</w:t>
            </w:r>
          </w:p>
        </w:tc>
        <w:tc>
          <w:tcPr>
            <w:tcW w:type="dxa" w:w="2880"/>
          </w:tcPr>
          <w:p>
            <w:r>
              <w:t>Rentang Tanggal</w:t>
            </w:r>
          </w:p>
        </w:tc>
      </w:tr>
      <w:tr>
        <w:tc>
          <w:tcPr>
            <w:tcW w:type="dxa" w:w="2880"/>
          </w:tcPr>
          <w:p>
            <w:r>
              <w:t>Train</w:t>
            </w:r>
          </w:p>
        </w:tc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15 Jan 2024 – 17 Sep 2024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18 Sep 2024 – 8 Nov 2024</w:t>
            </w:r>
          </w:p>
        </w:tc>
      </w:tr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9 Nov 2024 – 1 Jan 2025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MinMaxScaler di-fit hanya pada data training, lalu di-transform ke validation dan test (mencegah data leakage). Model LSTM univariat: 1 layer LSTM(50, ReLU) + Dense(1), loss MSE, optimizer Adam, EarlyStopping pada val_loss (patience=20, restore_best_weights). Window yang diuji: 5, 7, dan 10 hari. Baseline: Moving Average 3 hari (MA3) pada skala asli.</w:t>
      </w:r>
    </w:p>
    <w:p>
      <w:pPr>
        <w:pStyle w:val="Heading1"/>
      </w:pPr>
      <w:r>
        <w:t>2. Hasil Evaluasi pada Test Set</w:t>
      </w:r>
    </w:p>
    <w:p>
      <w:r>
        <w:rPr>
          <w:b w:val="0"/>
        </w:rPr>
        <w:t>Semua metrik dihitung setelah inverse transform ke skala Rupiah.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MAE (Rp)</w:t>
            </w:r>
          </w:p>
        </w:tc>
        <w:tc>
          <w:tcPr>
            <w:tcW w:type="dxa" w:w="1728"/>
          </w:tcPr>
          <w:p>
            <w:r>
              <w:t>RMSE (Rp)</w:t>
            </w:r>
          </w:p>
        </w:tc>
        <w:tc>
          <w:tcPr>
            <w:tcW w:type="dxa" w:w="1728"/>
          </w:tcPr>
          <w:p>
            <w:r>
              <w:t>MAPE (%)</w:t>
            </w:r>
          </w:p>
        </w:tc>
        <w:tc>
          <w:tcPr>
            <w:tcW w:type="dxa" w:w="1728"/>
          </w:tcPr>
          <w:p>
            <w:r>
              <w:t>R²</w:t>
            </w:r>
          </w:p>
        </w:tc>
      </w:tr>
      <w:tr>
        <w:tc>
          <w:tcPr>
            <w:tcW w:type="dxa" w:w="1728"/>
          </w:tcPr>
          <w:p>
            <w:r>
              <w:t>MA3</w:t>
            </w:r>
          </w:p>
        </w:tc>
        <w:tc>
          <w:tcPr>
            <w:tcW w:type="dxa" w:w="1728"/>
          </w:tcPr>
          <w:p>
            <w:r>
              <w:t>1,190,452,829</w:t>
            </w:r>
          </w:p>
        </w:tc>
        <w:tc>
          <w:tcPr>
            <w:tcW w:type="dxa" w:w="1728"/>
          </w:tcPr>
          <w:p>
            <w:r>
              <w:t>1,774,500,574</w:t>
            </w:r>
          </w:p>
        </w:tc>
        <w:tc>
          <w:tcPr>
            <w:tcW w:type="dxa" w:w="1728"/>
          </w:tcPr>
          <w:p>
            <w:r>
              <w:t>16.4083</w:t>
            </w:r>
          </w:p>
        </w:tc>
        <w:tc>
          <w:tcPr>
            <w:tcW w:type="dxa" w:w="1728"/>
          </w:tcPr>
          <w:p>
            <w:r>
              <w:t>-0.4019</w:t>
            </w:r>
          </w:p>
        </w:tc>
      </w:tr>
      <w:tr>
        <w:tc>
          <w:tcPr>
            <w:tcW w:type="dxa" w:w="1728"/>
          </w:tcPr>
          <w:p>
            <w:r>
              <w:t>LSTM_seq5</w:t>
            </w:r>
          </w:p>
        </w:tc>
        <w:tc>
          <w:tcPr>
            <w:tcW w:type="dxa" w:w="1728"/>
          </w:tcPr>
          <w:p>
            <w:r>
              <w:t>1,019,688,949</w:t>
            </w:r>
          </w:p>
        </w:tc>
        <w:tc>
          <w:tcPr>
            <w:tcW w:type="dxa" w:w="1728"/>
          </w:tcPr>
          <w:p>
            <w:r>
              <w:t>1,576,559,146</w:t>
            </w:r>
          </w:p>
        </w:tc>
        <w:tc>
          <w:tcPr>
            <w:tcW w:type="dxa" w:w="1728"/>
          </w:tcPr>
          <w:p>
            <w:r>
              <w:t>13.9875</w:t>
            </w:r>
          </w:p>
        </w:tc>
        <w:tc>
          <w:tcPr>
            <w:tcW w:type="dxa" w:w="1728"/>
          </w:tcPr>
          <w:p>
            <w:r>
              <w:t>-0.1066</w:t>
            </w:r>
          </w:p>
        </w:tc>
      </w:tr>
      <w:tr>
        <w:tc>
          <w:tcPr>
            <w:tcW w:type="dxa" w:w="1728"/>
          </w:tcPr>
          <w:p>
            <w:r>
              <w:t>LSTM_seq7</w:t>
            </w:r>
          </w:p>
        </w:tc>
        <w:tc>
          <w:tcPr>
            <w:tcW w:type="dxa" w:w="1728"/>
          </w:tcPr>
          <w:p>
            <w:r>
              <w:t>988,385,644</w:t>
            </w:r>
          </w:p>
        </w:tc>
        <w:tc>
          <w:tcPr>
            <w:tcW w:type="dxa" w:w="1728"/>
          </w:tcPr>
          <w:p>
            <w:r>
              <w:t>1,532,207,715</w:t>
            </w:r>
          </w:p>
        </w:tc>
        <w:tc>
          <w:tcPr>
            <w:tcW w:type="dxa" w:w="1728"/>
          </w:tcPr>
          <w:p>
            <w:r>
              <w:t>13.6746</w:t>
            </w:r>
          </w:p>
        </w:tc>
        <w:tc>
          <w:tcPr>
            <w:tcW w:type="dxa" w:w="1728"/>
          </w:tcPr>
          <w:p>
            <w:r>
              <w:t>-0.0452</w:t>
            </w:r>
          </w:p>
        </w:tc>
      </w:tr>
      <w:tr>
        <w:tc>
          <w:tcPr>
            <w:tcW w:type="dxa" w:w="1728"/>
          </w:tcPr>
          <w:p>
            <w:r>
              <w:t>LSTM_seq10</w:t>
            </w:r>
          </w:p>
        </w:tc>
        <w:tc>
          <w:tcPr>
            <w:tcW w:type="dxa" w:w="1728"/>
          </w:tcPr>
          <w:p>
            <w:r>
              <w:t>936,633,597</w:t>
            </w:r>
          </w:p>
        </w:tc>
        <w:tc>
          <w:tcPr>
            <w:tcW w:type="dxa" w:w="1728"/>
          </w:tcPr>
          <w:p>
            <w:r>
              <w:t>1,534,785,648</w:t>
            </w:r>
          </w:p>
        </w:tc>
        <w:tc>
          <w:tcPr>
            <w:tcW w:type="dxa" w:w="1728"/>
          </w:tcPr>
          <w:p>
            <w:r>
              <w:t>12.5235</w:t>
            </w:r>
          </w:p>
        </w:tc>
        <w:tc>
          <w:tcPr>
            <w:tcW w:type="dxa" w:w="1728"/>
          </w:tcPr>
          <w:p>
            <w:r>
              <w:t>-0.0488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Model dengan MAPE terendah pada run ini adalah LSTM seq10 (12,52%), diikuti LSTM seq7 (13,67%), LSTM seq5 (13,99%), dan MA3 (16,41%).</w:t>
      </w:r>
    </w:p>
    <w:p>
      <w:pPr>
        <w:pStyle w:val="Heading1"/>
      </w:pPr>
      <w:r>
        <w:t>3. Perbandingan dengan Angka Referensi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MAPE Run Baru</w:t>
            </w:r>
          </w:p>
        </w:tc>
        <w:tc>
          <w:tcPr>
            <w:tcW w:type="dxa" w:w="1728"/>
          </w:tcPr>
          <w:p>
            <w:r>
              <w:t>MAPE Referensi</w:t>
            </w:r>
          </w:p>
        </w:tc>
        <w:tc>
          <w:tcPr>
            <w:tcW w:type="dxa" w:w="1728"/>
          </w:tcPr>
          <w:p>
            <w:r>
              <w:t>R² Run Baru</w:t>
            </w:r>
          </w:p>
        </w:tc>
        <w:tc>
          <w:tcPr>
            <w:tcW w:type="dxa" w:w="1728"/>
          </w:tcPr>
          <w:p>
            <w:r>
              <w:t>R² Referensi</w:t>
            </w:r>
          </w:p>
        </w:tc>
      </w:tr>
      <w:tr>
        <w:tc>
          <w:tcPr>
            <w:tcW w:type="dxa" w:w="1728"/>
          </w:tcPr>
          <w:p>
            <w:r>
              <w:t>MA3</w:t>
            </w:r>
          </w:p>
        </w:tc>
        <w:tc>
          <w:tcPr>
            <w:tcW w:type="dxa" w:w="1728"/>
          </w:tcPr>
          <w:p>
            <w:r>
              <w:t>16,41%</w:t>
            </w:r>
          </w:p>
        </w:tc>
        <w:tc>
          <w:tcPr>
            <w:tcW w:type="dxa" w:w="1728"/>
          </w:tcPr>
          <w:p>
            <w:r>
              <w:t>±5,89%</w:t>
            </w:r>
          </w:p>
        </w:tc>
        <w:tc>
          <w:tcPr>
            <w:tcW w:type="dxa" w:w="1728"/>
          </w:tcPr>
          <w:p>
            <w:r>
              <w:t>-0,402</w:t>
            </w:r>
          </w:p>
        </w:tc>
        <w:tc>
          <w:tcPr>
            <w:tcW w:type="dxa" w:w="1728"/>
          </w:tcPr>
          <w:p>
            <w:r>
              <w:t>±0,467</w:t>
            </w:r>
          </w:p>
        </w:tc>
      </w:tr>
      <w:tr>
        <w:tc>
          <w:tcPr>
            <w:tcW w:type="dxa" w:w="1728"/>
          </w:tcPr>
          <w:p>
            <w:r>
              <w:t>LSTM seq10</w:t>
            </w:r>
          </w:p>
        </w:tc>
        <w:tc>
          <w:tcPr>
            <w:tcW w:type="dxa" w:w="1728"/>
          </w:tcPr>
          <w:p>
            <w:r>
              <w:t>12,52%</w:t>
            </w:r>
          </w:p>
        </w:tc>
        <w:tc>
          <w:tcPr>
            <w:tcW w:type="dxa" w:w="1728"/>
          </w:tcPr>
          <w:p>
            <w:r>
              <w:t>±10,58%</w:t>
            </w:r>
          </w:p>
        </w:tc>
        <w:tc>
          <w:tcPr>
            <w:tcW w:type="dxa" w:w="1728"/>
          </w:tcPr>
          <w:p>
            <w:r>
              <w:t>-0,049</w:t>
            </w:r>
          </w:p>
        </w:tc>
        <w:tc>
          <w:tcPr>
            <w:tcW w:type="dxa" w:w="1728"/>
          </w:tcPr>
          <w:p>
            <w:r>
              <w:t>±-0,396</w:t>
            </w:r>
          </w:p>
        </w:tc>
      </w:tr>
    </w:tbl>
    <w:p>
      <w:r>
        <w:rPr>
          <w:b w:val="0"/>
        </w:rPr>
      </w:r>
    </w:p>
    <w:p>
      <w:r>
        <w:rPr>
          <w:b/>
        </w:rPr>
        <w:t>Pola hasil run baru BERBEDA dari referensi: pada run ini LSTM seq10 sedikit mengungguli MA3, sedangkan referensi menyatakan MA3 unggul jauh.</w:t>
      </w:r>
    </w:p>
    <w:p>
      <w:pPr>
        <w:pStyle w:val="Heading1"/>
      </w:pPr>
      <w:r>
        <w:t>4. Analisis Penyebab Perbedaan</w:t>
      </w:r>
    </w:p>
    <w:p>
      <w:r>
        <w:rPr>
          <w:b w:val="0"/>
        </w:rPr>
        <w:t>a. Lonjakan ekstrem pada periode test (Desember 2024). Tanggal 5 Desember (Rp 11,53 miliar), 12 Desember (Rp 13,43 miliar — nilai tertinggi di dataset), dan 24 Desember (Rp 11,95 miliar) berkisar dua kali lipat nilai normal, kemungkinan terkait siklus payroll/kebutuhan akhir tahun. MA3 tidak mampu mengantisipasi lonjakan mendadak sehingga MAPE-nya melonjak.</w:t>
      </w:r>
    </w:p>
    <w:p>
      <w:r>
        <w:rPr>
          <w:b w:val="0"/>
        </w:rPr>
        <w:t>b. Nilai carry-forward akhir pekan. Sebanyak 19 dari 54 baris test adalah Sabtu/Minggu/libur dengan nilai identik hari sebelumnya; kesalahan membesar pada hari transisi (MAPE MA3 pada hari transisi 18,5% vs 12,5% pada hari carry-forward).</w:t>
      </w:r>
    </w:p>
    <w:p>
      <w:r>
        <w:rPr>
          <w:b w:val="0"/>
        </w:rPr>
        <w:t>c. Kemungkinan perbedaan setup referensi. Angka MAPE 5,89% untuk MA3 tidak dapat direproduksi dari data pada sheet ini dengan berbagai variasi perhitungan yang dicoba (rolling MA3 standar, kolom rolling_mean_3 bawaan sheet, filter hari kerja, eksklusi outlier). Diduga referensi menggunakan periode test berbeda (tidak mencakup Desember) atau data yang difilter berbeda.</w:t>
      </w:r>
    </w:p>
    <w:p>
      <w:r>
        <w:rPr>
          <w:b w:val="0"/>
        </w:rPr>
        <w:t>d. Versi library dan seed. Versi TensorFlow yang berbeda dapat memengaruhi konvergensi LSTM meskipun seed sama; ini menjelaskan selisih kecil pada metrik LSTM, namun bukan penyebab perbedaan besar pada MA3 (MA3 deterministik, tidak terpengaruh seed).</w:t>
      </w:r>
    </w:p>
    <w:p>
      <w:r>
        <w:rPr>
          <w:b w:val="0"/>
        </w:rPr>
        <w:t>Verifikasi anti-leakage: scaler di-fit hanya pada train; sequence validation/test menggunakan konteks kronologis dari split sebelumnya; MA3 menggunakan nilai aktual hari-hari sebelumnya. Tidak ditemukan indikasi data leakage — perbedaan hasil bersumber dari karakteristik data, bukan kesalahan metodologi.</w:t>
      </w:r>
    </w:p>
    <w:p>
      <w:pPr>
        <w:pStyle w:val="Heading1"/>
      </w:pPr>
      <w:r>
        <w:t>5. Lampiran Grafik</w:t>
      </w:r>
    </w:p>
    <w:p>
      <w:r>
        <w:drawing>
          <wp:inline xmlns:a="http://schemas.openxmlformats.org/drawingml/2006/main" xmlns:pic="http://schemas.openxmlformats.org/drawingml/2006/picture">
            <wp:extent cx="5486400" cy="2718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Gambar 1. Kurva loss training vs validasi (LSTM seq10, model terbaik)</w:t>
      </w:r>
    </w:p>
    <w:p>
      <w:r>
        <w:drawing>
          <wp:inline xmlns:a="http://schemas.openxmlformats.org/drawingml/2006/main" xmlns:pic="http://schemas.openxmlformats.org/drawingml/2006/picture">
            <wp:extent cx="5486400" cy="22594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ktual_vs_ma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9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Gambar 2. Data aktual vs prediksi MA3 pada test set</w:t>
      </w:r>
    </w:p>
    <w:p>
      <w:r>
        <w:drawing>
          <wp:inline xmlns:a="http://schemas.openxmlformats.org/drawingml/2006/main" xmlns:pic="http://schemas.openxmlformats.org/drawingml/2006/picture">
            <wp:extent cx="5486400" cy="22594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ktual_vs_lst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9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Gambar 3. Data aktual vs prediksi LSTM seq10 pada test 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