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835D" w14:textId="54325AAC" w:rsidR="004117E6" w:rsidRDefault="00000000">
      <w:pPr>
        <w:spacing w:before="1400" w:after="60"/>
        <w:jc w:val="center"/>
      </w:pPr>
      <w:r>
        <w:rPr>
          <w:b/>
          <w:bCs/>
          <w:color w:val="1F4E79"/>
          <w:sz w:val="48"/>
          <w:szCs w:val="48"/>
        </w:rPr>
        <w:t>ОТЧЁТ ПО ЭКСПЛУАТАЦИИ</w:t>
      </w:r>
    </w:p>
    <w:p w14:paraId="4BAD57EF" w14:textId="77777777" w:rsidR="004117E6" w:rsidRDefault="00000000">
      <w:pPr>
        <w:spacing w:after="300"/>
        <w:jc w:val="center"/>
      </w:pPr>
      <w:r>
        <w:rPr>
          <w:b/>
          <w:bCs/>
          <w:color w:val="1F4E79"/>
          <w:sz w:val="36"/>
          <w:szCs w:val="36"/>
        </w:rPr>
        <w:t>платформы корпоративных ИИ-агентов</w:t>
      </w:r>
    </w:p>
    <w:p w14:paraId="54133ACC" w14:textId="77777777" w:rsidR="004117E6" w:rsidRDefault="00000000">
      <w:pPr>
        <w:pBdr>
          <w:bottom w:val="single" w:sz="6" w:space="10" w:color="2E75B6"/>
        </w:pBdr>
        <w:spacing w:after="420"/>
        <w:jc w:val="center"/>
      </w:pPr>
      <w:r>
        <w:rPr>
          <w:b/>
          <w:bCs/>
          <w:color w:val="2E75B6"/>
          <w:sz w:val="28"/>
          <w:szCs w:val="28"/>
        </w:rPr>
        <w:t>01 августа — 30 сентября 2026 года</w:t>
      </w:r>
    </w:p>
    <w:tbl>
      <w:tblPr>
        <w:tblW w:w="9638" w:type="dxa"/>
        <w:tblBorders>
          <w:insideH w:val="single" w:sz="2" w:space="0" w:color="DD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6361"/>
      </w:tblGrid>
      <w:tr w:rsidR="004117E6" w14:paraId="0DDEFA86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38F30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</w:rPr>
              <w:t>Заказчик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8C734" w14:textId="77777777" w:rsidR="004117E6" w:rsidRDefault="00000000">
            <w:pPr>
              <w:spacing w:line="252" w:lineRule="auto"/>
            </w:pPr>
            <w:r>
              <w:rPr>
                <w:color w:val="262626"/>
              </w:rPr>
              <w:t>АО «Самрук-Қазына»</w:t>
            </w:r>
          </w:p>
        </w:tc>
      </w:tr>
      <w:tr w:rsidR="004117E6" w14:paraId="64F568B8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DA372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</w:rPr>
              <w:t>Исполнитель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4322A" w14:textId="77777777" w:rsidR="004117E6" w:rsidRDefault="00000000">
            <w:pPr>
              <w:spacing w:line="252" w:lineRule="auto"/>
            </w:pPr>
            <w:r>
              <w:rPr>
                <w:color w:val="262626"/>
              </w:rPr>
              <w:t>АО «Казахтелеком»</w:t>
            </w:r>
          </w:p>
        </w:tc>
      </w:tr>
      <w:tr w:rsidR="004117E6" w14:paraId="3A51746F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F5786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</w:rPr>
              <w:t>Отчётный период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D931D" w14:textId="77777777" w:rsidR="004117E6" w:rsidRDefault="00000000">
            <w:pPr>
              <w:spacing w:line="252" w:lineRule="auto"/>
            </w:pPr>
            <w:r>
              <w:rPr>
                <w:color w:val="262626"/>
              </w:rPr>
              <w:t>01.08.2026 — 30.09.2026</w:t>
            </w:r>
          </w:p>
        </w:tc>
      </w:tr>
      <w:tr w:rsidR="004117E6" w14:paraId="49C1C683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CA94E" w14:textId="77777777" w:rsidR="004117E6" w:rsidRPr="00EC74BA" w:rsidRDefault="00000000">
            <w:pPr>
              <w:spacing w:line="252" w:lineRule="auto"/>
              <w:rPr>
                <w:highlight w:val="yellow"/>
              </w:rPr>
            </w:pPr>
            <w:r w:rsidRPr="00EC74BA">
              <w:rPr>
                <w:b/>
                <w:bCs/>
                <w:color w:val="1F4E79"/>
                <w:highlight w:val="yellow"/>
              </w:rPr>
              <w:t>Данные выгрузки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7ED27" w14:textId="77777777" w:rsidR="004117E6" w:rsidRPr="00EC74BA" w:rsidRDefault="00000000">
            <w:pPr>
              <w:spacing w:line="252" w:lineRule="auto"/>
              <w:rPr>
                <w:highlight w:val="yellow"/>
              </w:rPr>
            </w:pPr>
            <w:r w:rsidRPr="00EC74BA">
              <w:rPr>
                <w:color w:val="262626"/>
                <w:highlight w:val="yellow"/>
              </w:rPr>
              <w:t>с 08.08.2026 (54 суток с зафиксированной нагрузкой)</w:t>
            </w:r>
          </w:p>
        </w:tc>
      </w:tr>
      <w:tr w:rsidR="004117E6" w14:paraId="5252F679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96529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</w:rPr>
              <w:t>Контур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A9A00" w14:textId="77777777" w:rsidR="004117E6" w:rsidRDefault="00000000">
            <w:pPr>
              <w:spacing w:line="252" w:lineRule="auto"/>
            </w:pPr>
            <w:r>
              <w:rPr>
                <w:color w:val="262626"/>
              </w:rPr>
              <w:t>Dev-среда, пилотная эксплуатация без SLA (sk-ai-team, sk-kontrakt)</w:t>
            </w:r>
          </w:p>
        </w:tc>
      </w:tr>
      <w:tr w:rsidR="004117E6" w14:paraId="0BDE722D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65F31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</w:rPr>
              <w:t>Инфраструктура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EAF77" w14:textId="77777777" w:rsidR="004117E6" w:rsidRDefault="00000000">
            <w:pPr>
              <w:spacing w:line="252" w:lineRule="auto"/>
            </w:pPr>
            <w:r>
              <w:rPr>
                <w:color w:val="262626"/>
              </w:rPr>
              <w:t>1 × Supermicro, 8 × NVIDIA H200 (1 128 ГБ VRAM)</w:t>
            </w:r>
          </w:p>
        </w:tc>
      </w:tr>
      <w:tr w:rsidR="004117E6" w14:paraId="35A02205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EEB42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</w:rPr>
              <w:t>Источник данных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424AE" w14:textId="77777777" w:rsidR="004117E6" w:rsidRDefault="00000000">
            <w:pPr>
              <w:spacing w:line="252" w:lineRule="auto"/>
            </w:pPr>
            <w:r>
              <w:rPr>
                <w:color w:val="262626"/>
              </w:rPr>
              <w:t>Посуточная выгрузка LiteLLM от 08.10.2026</w:t>
            </w:r>
          </w:p>
        </w:tc>
      </w:tr>
      <w:tr w:rsidR="004117E6" w14:paraId="7646ABF5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5E891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</w:rPr>
              <w:t>Подготовлено</w:t>
            </w:r>
          </w:p>
        </w:tc>
        <w:tc>
          <w:tcPr>
            <w:tcW w:w="63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7D8D8" w14:textId="77777777" w:rsidR="004117E6" w:rsidRDefault="00000000">
            <w:pPr>
              <w:spacing w:line="252" w:lineRule="auto"/>
            </w:pPr>
            <w:r>
              <w:rPr>
                <w:color w:val="262626"/>
              </w:rPr>
              <w:t>08.10.2026</w:t>
            </w:r>
          </w:p>
        </w:tc>
      </w:tr>
    </w:tbl>
    <w:p w14:paraId="103FDFE0" w14:textId="77777777" w:rsidR="004117E6" w:rsidRDefault="00000000">
      <w:r>
        <w:br w:type="page"/>
      </w:r>
    </w:p>
    <w:p w14:paraId="7D7C503D" w14:textId="77777777" w:rsidR="004117E6" w:rsidRDefault="00000000">
      <w:pPr>
        <w:pStyle w:val="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  <w:sz w:val="26"/>
          <w:szCs w:val="26"/>
        </w:rPr>
        <w:lastRenderedPageBreak/>
        <w:t>1.  Ключевые показатели за период</w:t>
      </w:r>
    </w:p>
    <w:tbl>
      <w:tblPr>
        <w:tblW w:w="963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117E6" w14:paraId="3DF6857D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F4F7FB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251F3962" w14:textId="77777777" w:rsidR="004117E6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34"/>
                <w:szCs w:val="34"/>
              </w:rPr>
              <w:t>1 057 736</w:t>
            </w:r>
          </w:p>
          <w:p w14:paraId="39E93CF1" w14:textId="77777777" w:rsidR="004117E6" w:rsidRDefault="00000000">
            <w:pPr>
              <w:spacing w:line="220" w:lineRule="auto"/>
              <w:jc w:val="center"/>
            </w:pPr>
            <w:r>
              <w:rPr>
                <w:color w:val="595959"/>
                <w:sz w:val="17"/>
                <w:szCs w:val="17"/>
              </w:rPr>
              <w:t>запросов обработано</w:t>
            </w:r>
          </w:p>
        </w:tc>
        <w:tc>
          <w:tcPr>
            <w:tcW w:w="3213" w:type="dxa"/>
            <w:shd w:val="clear" w:color="auto" w:fill="F4F7FB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3D3C94F" w14:textId="77777777" w:rsidR="004117E6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34"/>
                <w:szCs w:val="34"/>
              </w:rPr>
              <w:t>6,09 млрд</w:t>
            </w:r>
          </w:p>
          <w:p w14:paraId="2EDEBAC9" w14:textId="77777777" w:rsidR="004117E6" w:rsidRDefault="00000000">
            <w:pPr>
              <w:spacing w:line="220" w:lineRule="auto"/>
              <w:jc w:val="center"/>
            </w:pPr>
            <w:r>
              <w:rPr>
                <w:color w:val="595959"/>
                <w:sz w:val="17"/>
                <w:szCs w:val="17"/>
              </w:rPr>
              <w:t>токенов обработано</w:t>
            </w:r>
          </w:p>
        </w:tc>
        <w:tc>
          <w:tcPr>
            <w:tcW w:w="3213" w:type="dxa"/>
            <w:shd w:val="clear" w:color="auto" w:fill="F4F7FB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31B077C1" w14:textId="77777777" w:rsidR="004117E6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34"/>
                <w:szCs w:val="34"/>
              </w:rPr>
              <w:t>54</w:t>
            </w:r>
          </w:p>
          <w:p w14:paraId="59EEEC92" w14:textId="77777777" w:rsidR="004117E6" w:rsidRDefault="00000000">
            <w:pPr>
              <w:spacing w:line="220" w:lineRule="auto"/>
              <w:jc w:val="center"/>
            </w:pPr>
            <w:r>
              <w:rPr>
                <w:color w:val="595959"/>
                <w:sz w:val="17"/>
                <w:szCs w:val="17"/>
              </w:rPr>
              <w:t>суток с зафиксированной нагрузкой</w:t>
            </w:r>
          </w:p>
        </w:tc>
      </w:tr>
    </w:tbl>
    <w:p w14:paraId="356BEE31" w14:textId="77777777" w:rsidR="004117E6" w:rsidRDefault="004117E6">
      <w:pPr>
        <w:spacing w:after="120"/>
      </w:pPr>
    </w:p>
    <w:tbl>
      <w:tblPr>
        <w:tblW w:w="963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117E6" w14:paraId="7C556A80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F4F7FB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089DA938" w14:textId="77777777" w:rsidR="004117E6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34"/>
                <w:szCs w:val="34"/>
              </w:rPr>
              <w:t>19 588</w:t>
            </w:r>
          </w:p>
          <w:p w14:paraId="23716D89" w14:textId="77777777" w:rsidR="004117E6" w:rsidRDefault="00000000">
            <w:pPr>
              <w:spacing w:line="220" w:lineRule="auto"/>
              <w:jc w:val="center"/>
            </w:pPr>
            <w:r>
              <w:rPr>
                <w:color w:val="595959"/>
                <w:sz w:val="17"/>
                <w:szCs w:val="17"/>
              </w:rPr>
              <w:t>запросов в сутки (в среднем)</w:t>
            </w:r>
          </w:p>
        </w:tc>
        <w:tc>
          <w:tcPr>
            <w:tcW w:w="3213" w:type="dxa"/>
            <w:shd w:val="clear" w:color="auto" w:fill="F4F7FB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5183F058" w14:textId="77777777" w:rsidR="004117E6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34"/>
                <w:szCs w:val="34"/>
              </w:rPr>
              <w:t>113 млн</w:t>
            </w:r>
          </w:p>
          <w:p w14:paraId="4DA83610" w14:textId="77777777" w:rsidR="004117E6" w:rsidRDefault="00000000">
            <w:pPr>
              <w:spacing w:line="220" w:lineRule="auto"/>
              <w:jc w:val="center"/>
            </w:pPr>
            <w:r>
              <w:rPr>
                <w:color w:val="595959"/>
                <w:sz w:val="17"/>
                <w:szCs w:val="17"/>
              </w:rPr>
              <w:t>токенов в сутки (в среднем)</w:t>
            </w:r>
          </w:p>
        </w:tc>
        <w:tc>
          <w:tcPr>
            <w:tcW w:w="3213" w:type="dxa"/>
            <w:shd w:val="clear" w:color="auto" w:fill="F4F7FB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492ED256" w14:textId="77777777" w:rsidR="004117E6" w:rsidRDefault="00000000">
            <w:pPr>
              <w:spacing w:after="30"/>
              <w:jc w:val="center"/>
            </w:pPr>
            <w:r>
              <w:rPr>
                <w:b/>
                <w:bCs/>
                <w:color w:val="2F6F62"/>
                <w:sz w:val="34"/>
                <w:szCs w:val="34"/>
              </w:rPr>
              <w:t>99,70 %</w:t>
            </w:r>
          </w:p>
          <w:p w14:paraId="244814DF" w14:textId="77777777" w:rsidR="004117E6" w:rsidRDefault="00000000">
            <w:pPr>
              <w:spacing w:line="220" w:lineRule="auto"/>
              <w:jc w:val="center"/>
            </w:pPr>
            <w:r>
              <w:rPr>
                <w:color w:val="595959"/>
                <w:sz w:val="17"/>
                <w:szCs w:val="17"/>
              </w:rPr>
              <w:t>доступность вне окна инцидента (за весь период — 97,81 %)</w:t>
            </w:r>
          </w:p>
        </w:tc>
      </w:tr>
    </w:tbl>
    <w:p w14:paraId="73E3B93E" w14:textId="77777777" w:rsidR="004117E6" w:rsidRDefault="004117E6">
      <w:pPr>
        <w:spacing w:after="200"/>
      </w:pPr>
    </w:p>
    <w:tbl>
      <w:tblPr>
        <w:tblW w:w="9638" w:type="dxa"/>
        <w:tblBorders>
          <w:top w:val="single" w:sz="4" w:space="0" w:color="9DB9DC"/>
          <w:left w:val="single" w:sz="4" w:space="0" w:color="9DB9DC"/>
          <w:bottom w:val="single" w:sz="4" w:space="0" w:color="9DB9DC"/>
          <w:right w:val="single" w:sz="4" w:space="0" w:color="9DB9DC"/>
          <w:insideH w:val="single" w:sz="2" w:space="0" w:color="C5D6EC"/>
          <w:insideV w:val="single" w:sz="2" w:space="0" w:color="C5D6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4"/>
        <w:gridCol w:w="1928"/>
        <w:gridCol w:w="1928"/>
        <w:gridCol w:w="1928"/>
      </w:tblGrid>
      <w:tr w:rsidR="004117E6" w14:paraId="762C2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66C66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Показатель</w:t>
            </w:r>
          </w:p>
        </w:tc>
        <w:tc>
          <w:tcPr>
            <w:tcW w:w="192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935AE" w14:textId="77777777" w:rsidR="004117E6" w:rsidRDefault="00000000">
            <w:pPr>
              <w:spacing w:line="252" w:lineRule="auto"/>
              <w:jc w:val="center"/>
            </w:pPr>
            <w:r w:rsidRPr="00EC74BA">
              <w:rPr>
                <w:b/>
                <w:bCs/>
                <w:color w:val="1F4E79"/>
                <w:sz w:val="19"/>
                <w:szCs w:val="19"/>
                <w:highlight w:val="yellow"/>
              </w:rPr>
              <w:t>Август 2026 (24 сут. с данными)</w:t>
            </w:r>
          </w:p>
        </w:tc>
        <w:tc>
          <w:tcPr>
            <w:tcW w:w="192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D4FFE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Сентябрь 2026 (30 сут.)</w:t>
            </w:r>
          </w:p>
        </w:tc>
        <w:tc>
          <w:tcPr>
            <w:tcW w:w="192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2B6D1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Итого за период</w:t>
            </w:r>
          </w:p>
        </w:tc>
      </w:tr>
      <w:tr w:rsidR="004117E6" w14:paraId="7EFF8B45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0F1E3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9"/>
                <w:szCs w:val="19"/>
              </w:rPr>
              <w:t>Запросов обработано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C3EA5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367 735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C2E1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690 001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0DC48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1 057 736</w:t>
            </w:r>
          </w:p>
        </w:tc>
      </w:tr>
      <w:tr w:rsidR="004117E6" w14:paraId="6E276CA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EE375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9"/>
                <w:szCs w:val="19"/>
              </w:rPr>
              <w:t>Токенов обработано, млн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8D00E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2 337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266A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3 752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9E087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6 089</w:t>
            </w:r>
          </w:p>
        </w:tc>
      </w:tr>
      <w:tr w:rsidR="004117E6" w14:paraId="77AACC69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FA1FF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9"/>
                <w:szCs w:val="19"/>
              </w:rPr>
              <w:t>Запросов в сутки (в среднем)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6AC59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15 322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E9DC9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23 000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7FE7C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19 588</w:t>
            </w:r>
          </w:p>
        </w:tc>
      </w:tr>
      <w:tr w:rsidR="004117E6" w14:paraId="543D798A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0D187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9"/>
                <w:szCs w:val="19"/>
              </w:rPr>
              <w:t>Токенов в сутки, млн (в среднем)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30BC5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97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77BC7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125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45AD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113</w:t>
            </w:r>
          </w:p>
        </w:tc>
      </w:tr>
      <w:tr w:rsidR="004117E6" w14:paraId="0F843CB0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8D28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9"/>
                <w:szCs w:val="19"/>
              </w:rPr>
              <w:t>Успешных запросов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01232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363 684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6D9C3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670 858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CE043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1 034 542</w:t>
            </w:r>
          </w:p>
        </w:tc>
      </w:tr>
      <w:tr w:rsidR="004117E6" w14:paraId="1A32B8F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8F750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9"/>
                <w:szCs w:val="19"/>
              </w:rPr>
              <w:t>Доступность по доле успешных запросов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4ADEC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98,90 %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12C3A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97,23 %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A595A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9"/>
                <w:szCs w:val="19"/>
              </w:rPr>
              <w:t>97,81 %</w:t>
            </w:r>
          </w:p>
        </w:tc>
      </w:tr>
      <w:tr w:rsidR="004117E6" w14:paraId="53DC271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E014B" w14:textId="77777777" w:rsidR="004117E6" w:rsidRPr="00EC74BA" w:rsidRDefault="00000000">
            <w:pPr>
              <w:spacing w:line="252" w:lineRule="auto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То же, без окна сбоя 29.08 — 06.09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46ADF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99,73 %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4B193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99,68 %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D0F99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99,70 %</w:t>
            </w:r>
          </w:p>
        </w:tc>
      </w:tr>
    </w:tbl>
    <w:p w14:paraId="3FD47446" w14:textId="77777777" w:rsidR="004117E6" w:rsidRDefault="004117E6">
      <w:pPr>
        <w:spacing w:after="80"/>
      </w:pPr>
    </w:p>
    <w:p w14:paraId="547D6FE1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Таблица 1 — Сводные показатели эксплуатации по контуру Фонда</w:t>
      </w:r>
    </w:p>
    <w:p w14:paraId="6B39EB65" w14:textId="77777777" w:rsidR="004117E6" w:rsidRDefault="00000000">
      <w:pPr>
        <w:spacing w:after="120" w:line="276" w:lineRule="auto"/>
        <w:ind w:firstLine="453"/>
        <w:jc w:val="both"/>
      </w:pPr>
      <w:r>
        <w:rPr>
          <w:b/>
          <w:bCs/>
          <w:color w:val="262626"/>
        </w:rPr>
        <w:t xml:space="preserve">Итог периода: </w:t>
      </w:r>
      <w:r>
        <w:rPr>
          <w:color w:val="262626"/>
        </w:rPr>
        <w:t>платформа отработала растущий объём нагрузки — среднесуточный поток запросов вырос в сентябре на 50 % к августу, объём обработанных токенов — на 28 %. Всего за два месяца обработано 1,06 млн запросов и 6,09 млрд токенов по корпоративному контуру Фонда</w:t>
      </w:r>
      <w:r w:rsidRPr="00EC74BA">
        <w:rPr>
          <w:color w:val="262626"/>
          <w:highlight w:val="yellow"/>
        </w:rPr>
        <w:t>. Единственное отклонение по надёжности — локализованное окно 29.08 — 06.09 (раздел 5</w:t>
      </w:r>
      <w:r>
        <w:rPr>
          <w:color w:val="262626"/>
        </w:rPr>
        <w:t>); за его пределами доступность составила 99,70 %, за весь период — 97,81 %. Эксплуатация велась в dev-среде без выделенного резервирования и без SLA.</w:t>
      </w:r>
    </w:p>
    <w:p w14:paraId="280867AC" w14:textId="77777777" w:rsidR="004117E6" w:rsidRDefault="00000000">
      <w:pPr>
        <w:pStyle w:val="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  <w:sz w:val="26"/>
          <w:szCs w:val="26"/>
        </w:rPr>
        <w:t>2.  Нагрузка и динамика</w:t>
      </w:r>
    </w:p>
    <w:p w14:paraId="657DED33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t>Суточный профиль нагрузки за отчётный период. На протяжении двух месяцев сохраняется устойчивый рабочий поток 10 — 35 тыс. запросов в сутки с выраженным ростом во второй половине сентября и максимумом 75 262 запроса 24 сентября.</w:t>
      </w:r>
    </w:p>
    <w:p w14:paraId="2B01B4D1" w14:textId="77777777" w:rsidR="004117E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ACA133E" wp14:editId="7550F76E">
            <wp:extent cx="6096000" cy="2219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6FFE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Рис. 1. Запросы в сутки, 01.08 — 30.09.2026</w:t>
      </w:r>
    </w:p>
    <w:p w14:paraId="560F5AB5" w14:textId="77777777" w:rsidR="004117E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E3139DC" wp14:editId="0185935A">
            <wp:extent cx="6096000" cy="2219325"/>
            <wp:effectExtent l="0" t="0" r="0" b="0"/>
            <wp:docPr id="1522153794" name="Рисунок 1522153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C046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Рис. 2. Обработано токенов в сутки (млн), 01.08 — 30.09.2026</w:t>
      </w:r>
    </w:p>
    <w:p w14:paraId="78381432" w14:textId="77777777" w:rsidR="004117E6" w:rsidRDefault="00000000">
      <w:pPr>
        <w:spacing w:after="120" w:line="276" w:lineRule="auto"/>
        <w:ind w:firstLine="453"/>
        <w:jc w:val="both"/>
      </w:pPr>
      <w:r>
        <w:rPr>
          <w:b/>
          <w:bCs/>
          <w:color w:val="262626"/>
        </w:rPr>
        <w:t xml:space="preserve">Профиль трафика «тяжёлый вход, лёгкий выход»: </w:t>
      </w:r>
      <w:r>
        <w:rPr>
          <w:color w:val="262626"/>
        </w:rPr>
        <w:t>94,7 % токенов приходится на входной контекст (в среднем 5 450 входных токенов на запрос при 5 756 токенах суммарно). Это характерно для основных сценариев платформы — поиск и анализ по документам (RAG), обработка НПА, перевод. Пик по объёму токенов (781 млн за сутки 19 августа) при умеренном числе запросов отражает пакетную обработку документов с длинным контекстом.</w:t>
      </w:r>
    </w:p>
    <w:p w14:paraId="1A6BA90B" w14:textId="77777777" w:rsidR="004117E6" w:rsidRDefault="00000000">
      <w:pPr>
        <w:pStyle w:val="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  <w:sz w:val="26"/>
          <w:szCs w:val="26"/>
        </w:rPr>
        <w:t>3.  Помесячная динамика и рост</w:t>
      </w:r>
    </w:p>
    <w:p w14:paraId="2F40CD9C" w14:textId="77777777" w:rsidR="004117E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C72A2C8" wp14:editId="54DBD09C">
            <wp:extent cx="6096000" cy="2162175"/>
            <wp:effectExtent l="0" t="0" r="0" b="0"/>
            <wp:docPr id="1529921591" name="Рисунок 1529921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9F81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Рис. 3. Среднесуточные объёмы по месяцам отчётного периода</w:t>
      </w:r>
    </w:p>
    <w:p w14:paraId="391FFCCB" w14:textId="77777777" w:rsidR="004117E6" w:rsidRDefault="00000000">
      <w:pPr>
        <w:spacing w:after="120" w:line="276" w:lineRule="auto"/>
        <w:ind w:firstLine="453"/>
        <w:jc w:val="both"/>
      </w:pPr>
      <w:r w:rsidRPr="00EC74BA">
        <w:rPr>
          <w:color w:val="262626"/>
          <w:highlight w:val="yellow"/>
        </w:rPr>
        <w:t>Сопоставление ведётся по среднесуточным значениям, поскольку август представлен неполным месяцем (24 суток из 31).</w:t>
      </w:r>
      <w:r>
        <w:rPr>
          <w:color w:val="262626"/>
        </w:rPr>
        <w:t xml:space="preserve"> От августа к сентябрю среднесуточный поток запросов вырос на 50,1 %, среднесуточный объём токенов — на 28,4 %. Опережающий рост числа запросов относительно объёма токенов означает смещение структуры нагрузки в сторону более коротких интерактивных обращений при сохранении пакетных сценариев с длинным контекстом.</w:t>
      </w:r>
    </w:p>
    <w:p w14:paraId="1B31C4ED" w14:textId="77777777" w:rsidR="004117E6" w:rsidRDefault="00000000">
      <w:pPr>
        <w:pStyle w:val="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  <w:sz w:val="26"/>
          <w:szCs w:val="26"/>
        </w:rPr>
        <w:t>4.  Конфигурация GPU и состав обслуживаемых моделей</w:t>
      </w:r>
    </w:p>
    <w:p w14:paraId="5F5C6F05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t>Инфраструктура контура Фонда — 1 сервер Supermicro с 8 × NVIDIA H200 (суммарно 1 128 ГБ видеопамяти). Размер парка GPU на данном этапе определяется не вычислительной нагрузкой, а объёмом видеопамяти, необходимой для одновременного размещения всех продуктивных моделей, и требованиями к отказоустойчивости.</w:t>
      </w:r>
    </w:p>
    <w:p w14:paraId="781BF21F" w14:textId="77777777" w:rsidR="004117E6" w:rsidRDefault="00000000">
      <w:pPr>
        <w:pStyle w:val="2"/>
        <w:spacing w:before="200" w:after="90"/>
      </w:pPr>
      <w:r>
        <w:rPr>
          <w:b/>
          <w:bCs/>
          <w:color w:val="1F4E79"/>
          <w:sz w:val="23"/>
          <w:szCs w:val="23"/>
        </w:rPr>
        <w:t>4.1. Мультимодельный режим эксплуатации</w:t>
      </w:r>
    </w:p>
    <w:p w14:paraId="63249143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lastRenderedPageBreak/>
        <w:t>За отчётный период платформа обслуживала 35 идентификаторов моделей, из них 16 несли реальную нагрузку, а 11 моделей работали 30 суток и более, то есть находились в постоянной резидентной загрузке. Нагрузка распределена между несколькими семействами, и ни одно из них не является доминирующим настолько, чтобы остальные можно было отключить: на три верхние модели приходится 77,6 % токенов, но оставшиеся обслуживают отдельные обязательные классы задач — векторный поиск, реранжирование, обработку изображений и распознавание речи.</w:t>
      </w:r>
    </w:p>
    <w:p w14:paraId="0CE596E0" w14:textId="77777777" w:rsidR="004117E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FDEE317" wp14:editId="74BAAAD7">
            <wp:extent cx="6096000" cy="2667000"/>
            <wp:effectExtent l="0" t="0" r="0" b="0"/>
            <wp:docPr id="720674869" name="Рисунок 720674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D98D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Рис. 4. Распределение нагрузки по моделям и длительность их работы в периоде</w:t>
      </w:r>
    </w:p>
    <w:tbl>
      <w:tblPr>
        <w:tblW w:w="9638" w:type="dxa"/>
        <w:tblBorders>
          <w:top w:val="single" w:sz="4" w:space="0" w:color="9DB9DC"/>
          <w:left w:val="single" w:sz="4" w:space="0" w:color="9DB9DC"/>
          <w:bottom w:val="single" w:sz="4" w:space="0" w:color="9DB9DC"/>
          <w:right w:val="single" w:sz="4" w:space="0" w:color="9DB9DC"/>
          <w:insideH w:val="single" w:sz="2" w:space="0" w:color="C5D6EC"/>
          <w:insideV w:val="single" w:sz="2" w:space="0" w:color="C5D6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458"/>
        <w:gridCol w:w="1301"/>
        <w:gridCol w:w="1301"/>
        <w:gridCol w:w="1060"/>
        <w:gridCol w:w="1253"/>
      </w:tblGrid>
      <w:tr w:rsidR="004117E6" w14:paraId="037C1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5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BEFAE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Модель</w:t>
            </w:r>
          </w:p>
        </w:tc>
        <w:tc>
          <w:tcPr>
            <w:tcW w:w="245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6D0E9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Класс задач</w:t>
            </w:r>
          </w:p>
        </w:tc>
        <w:tc>
          <w:tcPr>
            <w:tcW w:w="1301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9474D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Запросов</w:t>
            </w:r>
          </w:p>
        </w:tc>
        <w:tc>
          <w:tcPr>
            <w:tcW w:w="1301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1017B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Токенов, млн</w:t>
            </w:r>
          </w:p>
        </w:tc>
        <w:tc>
          <w:tcPr>
            <w:tcW w:w="10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2A17B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Доля</w:t>
            </w:r>
          </w:p>
        </w:tc>
        <w:tc>
          <w:tcPr>
            <w:tcW w:w="1253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99E55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Суток</w:t>
            </w:r>
          </w:p>
        </w:tc>
      </w:tr>
      <w:tr w:rsidR="004117E6" w14:paraId="29EA5597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43C58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Qwen3.6-35B-A3B</w:t>
            </w:r>
          </w:p>
        </w:tc>
        <w:tc>
          <w:tcPr>
            <w:tcW w:w="24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BCD0A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Генерация, рассуждение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5E700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73 999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BDA33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2 202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E78EB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36,2 %</w:t>
            </w:r>
          </w:p>
        </w:tc>
        <w:tc>
          <w:tcPr>
            <w:tcW w:w="12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1B78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49</w:t>
            </w:r>
          </w:p>
        </w:tc>
      </w:tr>
      <w:tr w:rsidR="004117E6" w14:paraId="31F132C6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24764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Gemma-4-31B-it</w:t>
            </w:r>
          </w:p>
        </w:tc>
        <w:tc>
          <w:tcPr>
            <w:tcW w:w="245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99063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Генерация, RAG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4DD4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411 086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92F2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1 702</w:t>
            </w:r>
          </w:p>
        </w:tc>
        <w:tc>
          <w:tcPr>
            <w:tcW w:w="10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1CC0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28,0 %</w:t>
            </w:r>
          </w:p>
        </w:tc>
        <w:tc>
          <w:tcPr>
            <w:tcW w:w="125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CBD2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54</w:t>
            </w:r>
          </w:p>
        </w:tc>
      </w:tr>
      <w:tr w:rsidR="004117E6" w14:paraId="4CF086DD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592DA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GPT-OSS-120B</w:t>
            </w:r>
          </w:p>
        </w:tc>
        <w:tc>
          <w:tcPr>
            <w:tcW w:w="24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F5C28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Генерация, сложные задачи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F55C2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190 216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9A42E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820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C5519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13,5 %</w:t>
            </w:r>
          </w:p>
        </w:tc>
        <w:tc>
          <w:tcPr>
            <w:tcW w:w="12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9787F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54</w:t>
            </w:r>
          </w:p>
        </w:tc>
      </w:tr>
      <w:tr w:rsidR="004117E6" w14:paraId="54D683B0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2A740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Qwen3.8-27B-FP8</w:t>
            </w:r>
          </w:p>
        </w:tc>
        <w:tc>
          <w:tcPr>
            <w:tcW w:w="245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7095B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Генерация, длинный контекст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ED05C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17 754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C2D4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612</w:t>
            </w:r>
          </w:p>
        </w:tc>
        <w:tc>
          <w:tcPr>
            <w:tcW w:w="10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16D5C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10,1 %</w:t>
            </w:r>
          </w:p>
        </w:tc>
        <w:tc>
          <w:tcPr>
            <w:tcW w:w="125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D2C3A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13</w:t>
            </w:r>
          </w:p>
        </w:tc>
      </w:tr>
      <w:tr w:rsidR="004117E6" w14:paraId="6B7A1642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6CFE1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DeepSeek-V4.1-Flash</w:t>
            </w:r>
          </w:p>
        </w:tc>
        <w:tc>
          <w:tcPr>
            <w:tcW w:w="24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1B585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Генерация, рассуждение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D6D6F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7 796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C050E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462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AD0B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7,6 %</w:t>
            </w:r>
          </w:p>
        </w:tc>
        <w:tc>
          <w:tcPr>
            <w:tcW w:w="12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6B6A7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15</w:t>
            </w:r>
          </w:p>
        </w:tc>
      </w:tr>
      <w:tr w:rsidR="004117E6" w14:paraId="1E4B8F9A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4C9E7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Gemma-4-26B-A4B-it</w:t>
            </w:r>
          </w:p>
        </w:tc>
        <w:tc>
          <w:tcPr>
            <w:tcW w:w="245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27A5C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Генерация, лёгкий контур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CF44A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45 954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47EB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171</w:t>
            </w:r>
          </w:p>
        </w:tc>
        <w:tc>
          <w:tcPr>
            <w:tcW w:w="10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D34E7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2,8 %</w:t>
            </w:r>
          </w:p>
        </w:tc>
        <w:tc>
          <w:tcPr>
            <w:tcW w:w="125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34B47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52</w:t>
            </w:r>
          </w:p>
        </w:tc>
      </w:tr>
      <w:tr w:rsidR="004117E6" w14:paraId="1D1C81B2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0D23F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Qwen3-VL-32B-Instruct</w:t>
            </w:r>
          </w:p>
        </w:tc>
        <w:tc>
          <w:tcPr>
            <w:tcW w:w="24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EA9C9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Обработка изображений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430E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8 383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4E030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97C5C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0,8 %</w:t>
            </w:r>
          </w:p>
        </w:tc>
        <w:tc>
          <w:tcPr>
            <w:tcW w:w="12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4B6FA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51</w:t>
            </w:r>
          </w:p>
        </w:tc>
      </w:tr>
      <w:tr w:rsidR="004117E6" w14:paraId="69119B24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83A37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Gemma-3-27B-it</w:t>
            </w:r>
          </w:p>
        </w:tc>
        <w:tc>
          <w:tcPr>
            <w:tcW w:w="245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E44CA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Генерация, перевод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20068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18 970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6558B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26</w:t>
            </w:r>
          </w:p>
        </w:tc>
        <w:tc>
          <w:tcPr>
            <w:tcW w:w="10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CA57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0,4 %</w:t>
            </w:r>
          </w:p>
        </w:tc>
        <w:tc>
          <w:tcPr>
            <w:tcW w:w="125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3A1C3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53</w:t>
            </w:r>
          </w:p>
        </w:tc>
      </w:tr>
      <w:tr w:rsidR="004117E6" w14:paraId="751601E9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9A418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BGE-M3 (dense)</w:t>
            </w:r>
          </w:p>
        </w:tc>
        <w:tc>
          <w:tcPr>
            <w:tcW w:w="24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91BC3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Векторный поиск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AE90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147 604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A553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24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3BDC7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0,4 %</w:t>
            </w:r>
          </w:p>
        </w:tc>
        <w:tc>
          <w:tcPr>
            <w:tcW w:w="12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447DF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54</w:t>
            </w:r>
          </w:p>
        </w:tc>
      </w:tr>
      <w:tr w:rsidR="004117E6" w14:paraId="11401CAB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447EB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KT-v5r3</w:t>
            </w:r>
          </w:p>
        </w:tc>
        <w:tc>
          <w:tcPr>
            <w:tcW w:w="245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80161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Отраслевая модель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99525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38 090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B7B0B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11</w:t>
            </w:r>
          </w:p>
        </w:tc>
        <w:tc>
          <w:tcPr>
            <w:tcW w:w="10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C1D39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0,2 %</w:t>
            </w:r>
          </w:p>
        </w:tc>
        <w:tc>
          <w:tcPr>
            <w:tcW w:w="125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A17CF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37</w:t>
            </w:r>
          </w:p>
        </w:tc>
      </w:tr>
      <w:tr w:rsidR="004117E6" w14:paraId="451D3C5F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89600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BGE-M3 (sparse)</w:t>
            </w:r>
          </w:p>
        </w:tc>
        <w:tc>
          <w:tcPr>
            <w:tcW w:w="24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5B95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Векторный поиск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95E50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39 923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3EE38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694F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&lt; 0,1 %</w:t>
            </w:r>
          </w:p>
        </w:tc>
        <w:tc>
          <w:tcPr>
            <w:tcW w:w="12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C96A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52</w:t>
            </w:r>
          </w:p>
        </w:tc>
      </w:tr>
      <w:tr w:rsidR="004117E6" w14:paraId="09BD2562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1D3F8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BGE-reranker-v2-m3</w:t>
            </w:r>
          </w:p>
        </w:tc>
        <w:tc>
          <w:tcPr>
            <w:tcW w:w="245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D8133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Реранжирование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24C87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54 156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ED06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10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EC95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125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E6C4A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54</w:t>
            </w:r>
          </w:p>
        </w:tc>
      </w:tr>
      <w:tr w:rsidR="004117E6" w14:paraId="48C1BD31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FD38E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AlemLLM</w:t>
            </w:r>
          </w:p>
        </w:tc>
        <w:tc>
          <w:tcPr>
            <w:tcW w:w="24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B5D7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Казахский язык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3EF58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2 854</w:t>
            </w:r>
          </w:p>
        </w:tc>
        <w:tc>
          <w:tcPr>
            <w:tcW w:w="13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1CE92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9B7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&lt; 0,1 %</w:t>
            </w:r>
          </w:p>
        </w:tc>
        <w:tc>
          <w:tcPr>
            <w:tcW w:w="12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E272C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44</w:t>
            </w:r>
          </w:p>
        </w:tc>
      </w:tr>
      <w:tr w:rsidR="004117E6" w14:paraId="702AF67E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3E474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Whisper</w:t>
            </w:r>
          </w:p>
        </w:tc>
        <w:tc>
          <w:tcPr>
            <w:tcW w:w="245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02650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Распознавание речи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A7B5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597</w:t>
            </w:r>
          </w:p>
        </w:tc>
        <w:tc>
          <w:tcPr>
            <w:tcW w:w="1301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9AB5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10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FFFE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125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A0B93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14</w:t>
            </w:r>
          </w:p>
        </w:tc>
      </w:tr>
    </w:tbl>
    <w:p w14:paraId="3B3F35C9" w14:textId="77777777" w:rsidR="004117E6" w:rsidRDefault="004117E6">
      <w:pPr>
        <w:spacing w:after="80"/>
      </w:pPr>
    </w:p>
    <w:p w14:paraId="02FF3D29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Таблица 2 — Модели с подтверждённой нагрузкой за период (по убыванию объёма токенов)</w:t>
      </w:r>
    </w:p>
    <w:p w14:paraId="14D9F8E8" w14:textId="77777777" w:rsidR="004117E6" w:rsidRDefault="00000000">
      <w:pPr>
        <w:pStyle w:val="2"/>
        <w:spacing w:before="200" w:after="90"/>
      </w:pPr>
      <w:r>
        <w:rPr>
          <w:b/>
          <w:bCs/>
          <w:color w:val="1F4E79"/>
          <w:sz w:val="23"/>
          <w:szCs w:val="23"/>
        </w:rPr>
        <w:t>4.2. Почему парк GPU не может быть сокращён</w:t>
      </w:r>
    </w:p>
    <w:p w14:paraId="092E99CE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t xml:space="preserve">Перечисленные модели обслуживают разные классы задач и вызываются одновременно, поэтому держать их резидентно в видеопамяти необходимо постоянно: выгрузка и загрузка весов по требованию </w:t>
      </w:r>
      <w:r>
        <w:rPr>
          <w:color w:val="262626"/>
        </w:rPr>
        <w:lastRenderedPageBreak/>
        <w:t>добавляет к ответу десятки секунд и неприемлема для интерактивных сценариев. Оценка занимаемой весами видеопамяти по моделям, размерность которых известна, приведена ниже.</w:t>
      </w:r>
    </w:p>
    <w:tbl>
      <w:tblPr>
        <w:tblW w:w="9638" w:type="dxa"/>
        <w:tblBorders>
          <w:top w:val="single" w:sz="4" w:space="0" w:color="9DB9DC"/>
          <w:left w:val="single" w:sz="4" w:space="0" w:color="9DB9DC"/>
          <w:bottom w:val="single" w:sz="4" w:space="0" w:color="9DB9DC"/>
          <w:right w:val="single" w:sz="4" w:space="0" w:color="9DB9DC"/>
          <w:insideH w:val="single" w:sz="2" w:space="0" w:color="C5D6EC"/>
          <w:insideV w:val="single" w:sz="2" w:space="0" w:color="C5D6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3"/>
        <w:gridCol w:w="1735"/>
        <w:gridCol w:w="1542"/>
        <w:gridCol w:w="1928"/>
      </w:tblGrid>
      <w:tr w:rsidR="004117E6" w14:paraId="5F4EC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3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F1CD2" w14:textId="77777777" w:rsidR="004117E6" w:rsidRDefault="00000000">
            <w:pPr>
              <w:spacing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Модель</w:t>
            </w:r>
          </w:p>
        </w:tc>
        <w:tc>
          <w:tcPr>
            <w:tcW w:w="1735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18BD7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1542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E91FE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Точность</w:t>
            </w:r>
          </w:p>
        </w:tc>
        <w:tc>
          <w:tcPr>
            <w:tcW w:w="192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3A3C6" w14:textId="77777777" w:rsidR="004117E6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Оценка весов, ГБ</w:t>
            </w:r>
          </w:p>
        </w:tc>
      </w:tr>
      <w:tr w:rsidR="004117E6" w14:paraId="501E9E12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5832A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GPT-OSS-120B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5C96F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120 млрд (MoE)</w:t>
            </w:r>
          </w:p>
        </w:tc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D85CF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MXFP4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331E8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63</w:t>
            </w:r>
          </w:p>
        </w:tc>
      </w:tr>
      <w:tr w:rsidR="004117E6" w14:paraId="64847473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2FE11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Qwen3.6-35B-A3B</w:t>
            </w:r>
          </w:p>
        </w:tc>
        <w:tc>
          <w:tcPr>
            <w:tcW w:w="173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9B0B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35 млрд (MoE)</w:t>
            </w:r>
          </w:p>
        </w:tc>
        <w:tc>
          <w:tcPr>
            <w:tcW w:w="1542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DFEFB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FP8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B9F20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35</w:t>
            </w:r>
          </w:p>
        </w:tc>
      </w:tr>
      <w:tr w:rsidR="004117E6" w14:paraId="2073E048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45A36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Qwen3-VL-32B-Instruct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59BD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32 млрд</w:t>
            </w:r>
          </w:p>
        </w:tc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75E5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FP8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C13E5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32</w:t>
            </w:r>
          </w:p>
        </w:tc>
      </w:tr>
      <w:tr w:rsidR="004117E6" w14:paraId="2640FC89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FE474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Gemma-4-31B-it</w:t>
            </w:r>
          </w:p>
        </w:tc>
        <w:tc>
          <w:tcPr>
            <w:tcW w:w="173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BF5C2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31 млрд</w:t>
            </w:r>
          </w:p>
        </w:tc>
        <w:tc>
          <w:tcPr>
            <w:tcW w:w="1542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FCF1E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FP8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9A238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31</w:t>
            </w:r>
          </w:p>
        </w:tc>
      </w:tr>
      <w:tr w:rsidR="004117E6" w14:paraId="18F04BEA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4E478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Qwen3.8-27B-FP8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D9B1E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27 млрд</w:t>
            </w:r>
          </w:p>
        </w:tc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4D1B2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FP8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D86F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27</w:t>
            </w:r>
          </w:p>
        </w:tc>
      </w:tr>
      <w:tr w:rsidR="004117E6" w14:paraId="46444827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D05BB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Gemma-3-27B-it</w:t>
            </w:r>
          </w:p>
        </w:tc>
        <w:tc>
          <w:tcPr>
            <w:tcW w:w="173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1B9D8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27 млрд</w:t>
            </w:r>
          </w:p>
        </w:tc>
        <w:tc>
          <w:tcPr>
            <w:tcW w:w="1542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33DF3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FP8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C931B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27</w:t>
            </w:r>
          </w:p>
        </w:tc>
      </w:tr>
      <w:tr w:rsidR="004117E6" w14:paraId="59BD244C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0D5BC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Gemma-4-26B-A4B-it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477C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26 млрд (MoE)</w:t>
            </w:r>
          </w:p>
        </w:tc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39EAD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FP8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B321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26</w:t>
            </w:r>
          </w:p>
        </w:tc>
      </w:tr>
      <w:tr w:rsidR="004117E6" w14:paraId="7FEF878E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65B30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BGE-M3 (dense / sparse / ColBERT)</w:t>
            </w:r>
          </w:p>
        </w:tc>
        <w:tc>
          <w:tcPr>
            <w:tcW w:w="173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529A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0,6 млрд</w:t>
            </w:r>
          </w:p>
        </w:tc>
        <w:tc>
          <w:tcPr>
            <w:tcW w:w="1542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B2CF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FP16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86535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2</w:t>
            </w:r>
          </w:p>
        </w:tc>
      </w:tr>
      <w:tr w:rsidR="004117E6" w14:paraId="65EDC41C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0429B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BGE-reranker-v2-m3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7FD11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0,6 млрд</w:t>
            </w:r>
          </w:p>
        </w:tc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436F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FP16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D67A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1</w:t>
            </w:r>
          </w:p>
        </w:tc>
      </w:tr>
      <w:tr w:rsidR="004117E6" w14:paraId="6181E433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95596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DeepSeek-V4.1-Flash, KT-v5r3, AlemLLM, Whisper</w:t>
            </w:r>
          </w:p>
        </w:tc>
        <w:tc>
          <w:tcPr>
            <w:tcW w:w="173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55F84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не раскрыта</w:t>
            </w:r>
          </w:p>
        </w:tc>
        <w:tc>
          <w:tcPr>
            <w:tcW w:w="1542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E26E5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6CDCC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не оценивалась</w:t>
            </w:r>
          </w:p>
        </w:tc>
      </w:tr>
      <w:tr w:rsidR="004117E6" w14:paraId="02EAC0E9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C513E" w14:textId="77777777" w:rsidR="004117E6" w:rsidRDefault="00000000">
            <w:pPr>
              <w:spacing w:line="252" w:lineRule="auto"/>
            </w:pPr>
            <w:r>
              <w:rPr>
                <w:color w:val="262626"/>
                <w:sz w:val="18"/>
                <w:szCs w:val="18"/>
              </w:rPr>
              <w:t>Итого по моделям с известной размерностью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593C3" w14:textId="77777777" w:rsidR="004117E6" w:rsidRDefault="004117E6">
            <w:pPr>
              <w:spacing w:line="252" w:lineRule="auto"/>
              <w:jc w:val="center"/>
            </w:pPr>
          </w:p>
        </w:tc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26A52" w14:textId="77777777" w:rsidR="004117E6" w:rsidRDefault="004117E6">
            <w:pPr>
              <w:spacing w:line="252" w:lineRule="auto"/>
              <w:jc w:val="center"/>
            </w:pP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59466" w14:textId="77777777" w:rsidR="004117E6" w:rsidRDefault="00000000">
            <w:pPr>
              <w:spacing w:line="252" w:lineRule="auto"/>
              <w:jc w:val="center"/>
            </w:pPr>
            <w:r>
              <w:rPr>
                <w:color w:val="262626"/>
                <w:sz w:val="18"/>
                <w:szCs w:val="18"/>
              </w:rPr>
              <w:t>≈ 244</w:t>
            </w:r>
          </w:p>
        </w:tc>
      </w:tr>
    </w:tbl>
    <w:p w14:paraId="02F7526F" w14:textId="77777777" w:rsidR="004117E6" w:rsidRDefault="004117E6">
      <w:pPr>
        <w:spacing w:after="80"/>
      </w:pPr>
    </w:p>
    <w:p w14:paraId="6522311C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Таблица 3 — Оценка видеопамяти под веса моделей (нижняя граница; KV-кэш не включён)</w:t>
      </w:r>
    </w:p>
    <w:p w14:paraId="6BC2E644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t>Приведённая величина — нижняя граница: она учитывает только веса и только те модели, размерность которых публично известна. Помимо весов видеопамять расходуется на KV-кэш, объём которого прямо пропорционален длине контекста и числу одновременных запросов. При среднем входном контексте 5 450 токенов и пиковых 75 тыс. запросов в сутки KV-кэш составляет основную переменную часть потребления памяти и определяет предельную параллельность обработки.</w:t>
      </w:r>
    </w:p>
    <w:p w14:paraId="2F08B4DE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t>Таким образом, сокращение парка GPU привело бы к одному из трёх последствий: отключению части моделей и, соответственно, части сценариев; переходу на загрузку весов по требованию с деградацией времени ответа; либо резкому снижению допустимой параллельности из-за нехватки памяти под KV-кэш. Текущая конфигурация 8 × H200 выбрана как минимальная, обеспечивающая одновременное резидентное размещение всего продуктивного набора моделей с запасом видеопамяти под KV-кэш на пиковых режимах.</w:t>
      </w:r>
    </w:p>
    <w:p w14:paraId="7C0F6D5B" w14:textId="77777777" w:rsidR="004117E6" w:rsidRDefault="00000000">
      <w:pPr>
        <w:pStyle w:val="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  <w:sz w:val="26"/>
          <w:szCs w:val="26"/>
        </w:rPr>
        <w:t>5.  Надёжность и инциденты</w:t>
      </w:r>
    </w:p>
    <w:p w14:paraId="76E32B8D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t xml:space="preserve">Доступность платформы за период по </w:t>
      </w:r>
      <w:r w:rsidRPr="00EC74BA">
        <w:rPr>
          <w:color w:val="262626"/>
          <w:highlight w:val="yellow"/>
        </w:rPr>
        <w:t>доле успешно выполненных запросов — 97,81 %.</w:t>
      </w:r>
      <w:r>
        <w:rPr>
          <w:color w:val="262626"/>
        </w:rPr>
        <w:t xml:space="preserve"> Отклонение сосредоточено в одном окне </w:t>
      </w:r>
      <w:r w:rsidRPr="00EC74BA">
        <w:rPr>
          <w:color w:val="262626"/>
          <w:highlight w:val="yellow"/>
        </w:rPr>
        <w:t>29.08 — 06.09.2026: на него приходится 87,5 % всех отказов периода при 8,9 % от общего объёма запросов.</w:t>
      </w:r>
      <w:r>
        <w:rPr>
          <w:color w:val="262626"/>
        </w:rPr>
        <w:t xml:space="preserve"> За пределами этого окна доступность составила 99,70 %.</w:t>
      </w:r>
    </w:p>
    <w:p w14:paraId="040AA4DB" w14:textId="77777777" w:rsidR="004117E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38F0DE" wp14:editId="7B7D4ABD">
            <wp:extent cx="6096000" cy="1838325"/>
            <wp:effectExtent l="0" t="0" r="0" b="0"/>
            <wp:docPr id="1997440113" name="Рисунок 199744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16F0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Рис. 5. Доступность по суткам, 01.08 — 30.09.2026</w:t>
      </w:r>
    </w:p>
    <w:tbl>
      <w:tblPr>
        <w:tblW w:w="9638" w:type="dxa"/>
        <w:tblBorders>
          <w:top w:val="single" w:sz="4" w:space="0" w:color="9DB9DC"/>
          <w:left w:val="single" w:sz="4" w:space="0" w:color="9DB9DC"/>
          <w:bottom w:val="single" w:sz="4" w:space="0" w:color="9DB9DC"/>
          <w:right w:val="single" w:sz="4" w:space="0" w:color="9DB9DC"/>
          <w:insideH w:val="single" w:sz="2" w:space="0" w:color="C5D6EC"/>
          <w:insideV w:val="single" w:sz="2" w:space="0" w:color="C5D6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4"/>
        <w:gridCol w:w="1928"/>
        <w:gridCol w:w="1928"/>
        <w:gridCol w:w="1928"/>
      </w:tblGrid>
      <w:tr w:rsidR="004117E6" w14:paraId="7C6B6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3C391" w14:textId="77777777" w:rsidR="004117E6" w:rsidRPr="00EC74BA" w:rsidRDefault="00000000">
            <w:pPr>
              <w:spacing w:line="252" w:lineRule="auto"/>
              <w:rPr>
                <w:highlight w:val="yellow"/>
              </w:rPr>
            </w:pPr>
            <w:r w:rsidRPr="00EC74BA">
              <w:rPr>
                <w:b/>
                <w:bCs/>
                <w:color w:val="1F4E79"/>
                <w:sz w:val="19"/>
                <w:szCs w:val="19"/>
                <w:highlight w:val="yellow"/>
              </w:rPr>
              <w:lastRenderedPageBreak/>
              <w:t>Интервал</w:t>
            </w:r>
          </w:p>
        </w:tc>
        <w:tc>
          <w:tcPr>
            <w:tcW w:w="192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24501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b/>
                <w:bCs/>
                <w:color w:val="1F4E79"/>
                <w:sz w:val="19"/>
                <w:szCs w:val="19"/>
                <w:highlight w:val="yellow"/>
              </w:rPr>
              <w:t>Запросов</w:t>
            </w:r>
          </w:p>
        </w:tc>
        <w:tc>
          <w:tcPr>
            <w:tcW w:w="192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DFB19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b/>
                <w:bCs/>
                <w:color w:val="1F4E79"/>
                <w:sz w:val="19"/>
                <w:szCs w:val="19"/>
                <w:highlight w:val="yellow"/>
              </w:rPr>
              <w:t>Отказов</w:t>
            </w:r>
          </w:p>
        </w:tc>
        <w:tc>
          <w:tcPr>
            <w:tcW w:w="192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6CFB6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b/>
                <w:bCs/>
                <w:color w:val="1F4E79"/>
                <w:sz w:val="19"/>
                <w:szCs w:val="19"/>
                <w:highlight w:val="yellow"/>
              </w:rPr>
              <w:t>Доступность</w:t>
            </w:r>
          </w:p>
        </w:tc>
      </w:tr>
      <w:tr w:rsidR="004117E6" w14:paraId="28545D4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FC5F3" w14:textId="77777777" w:rsidR="004117E6" w:rsidRPr="00EC74BA" w:rsidRDefault="00000000">
            <w:pPr>
              <w:spacing w:line="252" w:lineRule="auto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Окно 29.08 — 06.09.2026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9D81C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94 658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4AC66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20 302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6930F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78,55 %</w:t>
            </w:r>
          </w:p>
        </w:tc>
      </w:tr>
      <w:tr w:rsidR="004117E6" w14:paraId="2B8D0435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C04F3" w14:textId="77777777" w:rsidR="004117E6" w:rsidRPr="00EC74BA" w:rsidRDefault="00000000">
            <w:pPr>
              <w:spacing w:line="252" w:lineRule="auto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Период за вычетом окна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6BE09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963 078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53E5A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2 892</w:t>
            </w:r>
          </w:p>
        </w:tc>
        <w:tc>
          <w:tcPr>
            <w:tcW w:w="192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5EFCB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99,70 %</w:t>
            </w:r>
          </w:p>
        </w:tc>
      </w:tr>
      <w:tr w:rsidR="004117E6" w14:paraId="2C56C95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72757" w14:textId="77777777" w:rsidR="004117E6" w:rsidRPr="00EC74BA" w:rsidRDefault="00000000">
            <w:pPr>
              <w:spacing w:line="252" w:lineRule="auto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Итого за период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D1663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1 057 736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0AF61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23 194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4E6CA" w14:textId="77777777" w:rsidR="004117E6" w:rsidRPr="00EC74BA" w:rsidRDefault="00000000">
            <w:pPr>
              <w:spacing w:line="252" w:lineRule="auto"/>
              <w:jc w:val="center"/>
              <w:rPr>
                <w:highlight w:val="yellow"/>
              </w:rPr>
            </w:pPr>
            <w:r w:rsidRPr="00EC74BA">
              <w:rPr>
                <w:color w:val="262626"/>
                <w:sz w:val="19"/>
                <w:szCs w:val="19"/>
                <w:highlight w:val="yellow"/>
              </w:rPr>
              <w:t>97,81 %</w:t>
            </w:r>
          </w:p>
        </w:tc>
      </w:tr>
    </w:tbl>
    <w:p w14:paraId="187624E2" w14:textId="77777777" w:rsidR="004117E6" w:rsidRDefault="004117E6">
      <w:pPr>
        <w:spacing w:after="80"/>
      </w:pPr>
    </w:p>
    <w:p w14:paraId="0771C0A1" w14:textId="77777777" w:rsidR="004117E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Таблица 4 — Структура отказов за период</w:t>
      </w:r>
    </w:p>
    <w:p w14:paraId="31F7A1C1" w14:textId="77777777" w:rsidR="004117E6" w:rsidRDefault="00000000">
      <w:pPr>
        <w:pStyle w:val="2"/>
        <w:spacing w:before="200" w:after="90"/>
      </w:pPr>
      <w:r>
        <w:rPr>
          <w:b/>
          <w:bCs/>
          <w:color w:val="1F4E79"/>
          <w:sz w:val="23"/>
          <w:szCs w:val="23"/>
        </w:rPr>
        <w:t>Характер отклонения</w:t>
      </w:r>
    </w:p>
    <w:p w14:paraId="0405249C" w14:textId="77777777" w:rsidR="004117E6" w:rsidRDefault="00000000">
      <w:pPr>
        <w:spacing w:after="120" w:line="276" w:lineRule="auto"/>
        <w:ind w:firstLine="453"/>
        <w:jc w:val="both"/>
      </w:pPr>
      <w:r>
        <w:rPr>
          <w:color w:val="262626"/>
        </w:rPr>
        <w:t>Отклонение развивалось в две фазы. С 29 по 31 августа и с 3 по 4 сентября доля неуспешных запросов составляла 9 — 27 % при сохранении обработки основной массы трафика. В пике 5 — 6 сентября отказы достигли 83 — 86 %, причём доля неуспешных запросов по большинству моделей одновременно составила около 100 % (Gemma-4-31B-it, BGE-M3, Qwen3-VL-32B, KT-v5r3). Одновременность отказа по не связанным между собой моделям указывает на отклонение уровня платформы — шлюза инференса или узла, а не на проблему отдельной модели. С 7 сентября показатель вернулся в норму, остаток месяца отработан штатно.</w:t>
      </w:r>
    </w:p>
    <w:p w14:paraId="545A30B0" w14:textId="77777777" w:rsidR="004117E6" w:rsidRDefault="00000000">
      <w:pPr>
        <w:spacing w:after="120" w:line="276" w:lineRule="auto"/>
        <w:ind w:firstLine="453"/>
        <w:jc w:val="both"/>
      </w:pPr>
      <w:r w:rsidRPr="00EC74BA">
        <w:rPr>
          <w:color w:val="262626"/>
          <w:highlight w:val="yellow"/>
        </w:rPr>
        <w:t>Первопричину по агрегированным данным LiteLLM установить нельзя — выгрузка не содержит кодов ошибок и трассировок. Требуется разбор по логам шлюза и узлов инференса за 29.08 — 06.09.</w:t>
      </w:r>
    </w:p>
    <w:p w14:paraId="230ABCBC" w14:textId="77777777" w:rsidR="004117E6" w:rsidRDefault="00000000">
      <w:pPr>
        <w:pStyle w:val="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  <w:sz w:val="26"/>
          <w:szCs w:val="26"/>
        </w:rPr>
        <w:t>6.  Выводы и рекомендации</w:t>
      </w:r>
    </w:p>
    <w:p w14:paraId="6DF7483E" w14:textId="77777777" w:rsidR="004117E6" w:rsidRDefault="00000000">
      <w:pPr>
        <w:pStyle w:val="a4"/>
        <w:numPr>
          <w:ilvl w:val="0"/>
          <w:numId w:val="2"/>
        </w:numPr>
        <w:spacing w:after="70" w:line="276" w:lineRule="auto"/>
        <w:jc w:val="both"/>
      </w:pPr>
      <w:r>
        <w:rPr>
          <w:color w:val="262626"/>
        </w:rPr>
        <w:t>За два месяца по корпоративному контуру Фонда обработано 1,06 млн запросов и 6,09 млрд токенов. Среднесуточная нагрузка растёт: +50,1 % по запросам и +28,4 % по токенам в сентябре к августу.</w:t>
      </w:r>
    </w:p>
    <w:p w14:paraId="429B6B75" w14:textId="77777777" w:rsidR="004117E6" w:rsidRDefault="00000000">
      <w:pPr>
        <w:pStyle w:val="a4"/>
        <w:numPr>
          <w:ilvl w:val="0"/>
          <w:numId w:val="2"/>
        </w:numPr>
        <w:spacing w:after="70" w:line="276" w:lineRule="auto"/>
        <w:jc w:val="both"/>
      </w:pPr>
      <w:r>
        <w:rPr>
          <w:color w:val="262626"/>
        </w:rPr>
        <w:t>Платформа эксплуатируется в мультимодельном режиме: 16 моделей несут реальную нагрузку, 11 из них резидентны практически весь период. Состав моделей покрывает разные классы задач — генерацию, векторный поиск, реранжирование, обработку изображений, распознавание речи и работу с казахским языком.</w:t>
      </w:r>
    </w:p>
    <w:p w14:paraId="5F7647EF" w14:textId="77777777" w:rsidR="004117E6" w:rsidRDefault="00000000">
      <w:pPr>
        <w:pStyle w:val="a4"/>
        <w:numPr>
          <w:ilvl w:val="0"/>
          <w:numId w:val="2"/>
        </w:numPr>
        <w:spacing w:after="70" w:line="276" w:lineRule="auto"/>
        <w:jc w:val="both"/>
      </w:pPr>
      <w:r>
        <w:rPr>
          <w:color w:val="262626"/>
        </w:rPr>
        <w:t>Конфигурация 8 × H200 (1 128 ГБ VRAM) определяется требованием одновременного резидентного размещения всего продуктивного набора моделей и объёмом KV-кэша при среднем входном контексте 5 450 токенов. Сокращение парка GPU потребовало бы вывода части моделей из эксплуатации либо деградации времени ответа и параллельности, поэтому не рекомендуется.</w:t>
      </w:r>
    </w:p>
    <w:p w14:paraId="57B29342" w14:textId="77777777" w:rsidR="004117E6" w:rsidRDefault="00000000">
      <w:pPr>
        <w:pStyle w:val="a4"/>
        <w:numPr>
          <w:ilvl w:val="0"/>
          <w:numId w:val="2"/>
        </w:numPr>
        <w:spacing w:after="70" w:line="276" w:lineRule="auto"/>
        <w:jc w:val="both"/>
      </w:pPr>
      <w:r w:rsidRPr="00EC74BA">
        <w:rPr>
          <w:color w:val="262626"/>
          <w:highlight w:val="yellow"/>
        </w:rPr>
        <w:t>Надёжность вне окна инцидента 29.08 — 06.09 составила 99,70 %, за весь период — 97,81 %. Эксплуатация велась в dev-среде без выделенного резервирования и без SLA.</w:t>
      </w:r>
      <w:r>
        <w:rPr>
          <w:color w:val="262626"/>
        </w:rPr>
        <w:t xml:space="preserve"> Рекомендуется провести разбор инцидента по логам шлюза инференса и узлов за указанный период — одновременный отказ по независимым моделям указывает на общий компонент платформы; без устранения первопричины отклонение может повториться на будущих пиках нагрузки. Для промышленной эксплуатации с целевой доступностью не ниже 99 % рекомендуется выделить прод-ресурсы: отдельный контур с резервированием узла инференса и шлюза. Общая dev-среда такого уровня доступности обеспечить не может.</w:t>
      </w:r>
    </w:p>
    <w:p w14:paraId="78C83958" w14:textId="77777777" w:rsidR="004117E6" w:rsidRDefault="00000000">
      <w:pPr>
        <w:pStyle w:val="a4"/>
        <w:numPr>
          <w:ilvl w:val="0"/>
          <w:numId w:val="2"/>
        </w:numPr>
        <w:spacing w:after="70" w:line="276" w:lineRule="auto"/>
        <w:jc w:val="both"/>
      </w:pPr>
      <w:r>
        <w:rPr>
          <w:color w:val="262626"/>
        </w:rPr>
        <w:t>Для детальной отчётности в следующих периодах рекомендуется включить в LiteLLM разбивку по агентам и ключам, а также выгрузку кодов ошибок — это позволит давать нагрузку и доступность в разрезе отдельных ИИ-агентов и сокращать время разбора инцидентов.</w:t>
      </w:r>
    </w:p>
    <w:p w14:paraId="344CD42A" w14:textId="77777777" w:rsidR="004117E6" w:rsidRDefault="004117E6">
      <w:pPr>
        <w:spacing w:after="280"/>
      </w:pPr>
    </w:p>
    <w:p w14:paraId="02741804" w14:textId="77777777" w:rsidR="004117E6" w:rsidRDefault="00000000">
      <w:pPr>
        <w:spacing w:after="120" w:line="276" w:lineRule="auto"/>
        <w:jc w:val="both"/>
      </w:pPr>
      <w:r>
        <w:rPr>
          <w:i/>
          <w:iCs/>
          <w:color w:val="595959"/>
          <w:sz w:val="17"/>
          <w:szCs w:val="17"/>
        </w:rPr>
        <w:t xml:space="preserve">Примечание. Показатели рассчитаны по посуточной выгрузке LiteLLM от 08.10.2026 и агрегированы по командам sk-ai-team и sk-kontrakt (dev-среда); нагрузка портфельных компаний и прочих команд периметра в расчёт не включена. Отчётный период — 01.08.2026 — 30.09.2026; </w:t>
      </w:r>
      <w:r w:rsidRPr="00EC74BA">
        <w:rPr>
          <w:i/>
          <w:iCs/>
          <w:color w:val="595959"/>
          <w:sz w:val="17"/>
          <w:szCs w:val="17"/>
          <w:highlight w:val="yellow"/>
        </w:rPr>
        <w:t>выгрузка LiteLLM содержит записи начиная с 08.08.2026, за 01 — 07.08.2026 данные в источнике отсутствуют. По этой причине август представлен 24 сутками,</w:t>
      </w:r>
      <w:r>
        <w:rPr>
          <w:i/>
          <w:iCs/>
          <w:color w:val="595959"/>
          <w:sz w:val="17"/>
          <w:szCs w:val="17"/>
        </w:rPr>
        <w:t xml:space="preserve"> а помесячное сопоставление ведётся по среднесуточным значениям. Оценки видеопамяти под веса моделей выполнены по публично заявленным размерностям и заявленной точности и носят справочный характер; фактическое потребление зависит от конфигурации движка инференса, длины контекста и параллельности.</w:t>
      </w:r>
    </w:p>
    <w:sectPr w:rsidR="004117E6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68E5" w14:textId="77777777" w:rsidR="00D12A1F" w:rsidRDefault="00D12A1F">
      <w:r>
        <w:separator/>
      </w:r>
    </w:p>
  </w:endnote>
  <w:endnote w:type="continuationSeparator" w:id="0">
    <w:p w14:paraId="25E49F9C" w14:textId="77777777" w:rsidR="00D12A1F" w:rsidRDefault="00D1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C0CD" w14:textId="77777777" w:rsidR="004117E6" w:rsidRDefault="00000000">
    <w:pPr>
      <w:spacing w:before="120"/>
      <w:jc w:val="center"/>
    </w:pPr>
    <w:r>
      <w:rPr>
        <w:color w:val="9A9A9A"/>
        <w:sz w:val="16"/>
        <w:szCs w:val="16"/>
      </w:rPr>
      <w:t xml:space="preserve">Отчёт по эксплуатации платформы корпоративных ИИ-агентов · август — сентябрь 2026 · </w:t>
    </w:r>
    <w:r>
      <w:rPr>
        <w:color w:val="9A9A9A"/>
        <w:sz w:val="16"/>
        <w:szCs w:val="16"/>
      </w:rPr>
      <w:fldChar w:fldCharType="begin"/>
    </w:r>
    <w:r>
      <w:rPr>
        <w:color w:val="9A9A9A"/>
        <w:sz w:val="16"/>
        <w:szCs w:val="16"/>
      </w:rPr>
      <w:instrText>PAGE</w:instrText>
    </w:r>
    <w:r>
      <w:rPr>
        <w:color w:val="9A9A9A"/>
        <w:sz w:val="16"/>
        <w:szCs w:val="16"/>
      </w:rPr>
      <w:fldChar w:fldCharType="separate"/>
    </w:r>
    <w:r w:rsidR="00EC74BA">
      <w:rPr>
        <w:noProof/>
        <w:color w:val="9A9A9A"/>
        <w:sz w:val="16"/>
        <w:szCs w:val="16"/>
      </w:rPr>
      <w:t>1</w:t>
    </w:r>
    <w:r>
      <w:rPr>
        <w:color w:val="9A9A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9BC53" w14:textId="77777777" w:rsidR="00D12A1F" w:rsidRDefault="00D12A1F">
      <w:r>
        <w:separator/>
      </w:r>
    </w:p>
  </w:footnote>
  <w:footnote w:type="continuationSeparator" w:id="0">
    <w:p w14:paraId="5D4721FB" w14:textId="77777777" w:rsidR="00D12A1F" w:rsidRDefault="00D1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E02"/>
    <w:multiLevelType w:val="hybridMultilevel"/>
    <w:tmpl w:val="AB22A93C"/>
    <w:lvl w:ilvl="0" w:tplc="0C127AC8">
      <w:start w:val="1"/>
      <w:numFmt w:val="bullet"/>
      <w:lvlText w:val="—"/>
      <w:lvlJc w:val="left"/>
      <w:pPr>
        <w:ind w:left="360" w:hanging="240"/>
      </w:pPr>
      <w:rPr>
        <w:rFonts w:ascii="Calibri" w:eastAsia="Calibri" w:hAnsi="Calibri" w:cs="Calibri"/>
        <w:color w:val="2E75B6"/>
      </w:rPr>
    </w:lvl>
    <w:lvl w:ilvl="1" w:tplc="EBEA308E">
      <w:numFmt w:val="decimal"/>
      <w:lvlText w:val=""/>
      <w:lvlJc w:val="left"/>
    </w:lvl>
    <w:lvl w:ilvl="2" w:tplc="43BCF7E0">
      <w:numFmt w:val="decimal"/>
      <w:lvlText w:val=""/>
      <w:lvlJc w:val="left"/>
    </w:lvl>
    <w:lvl w:ilvl="3" w:tplc="D67867AA">
      <w:numFmt w:val="decimal"/>
      <w:lvlText w:val=""/>
      <w:lvlJc w:val="left"/>
    </w:lvl>
    <w:lvl w:ilvl="4" w:tplc="405A2390">
      <w:numFmt w:val="decimal"/>
      <w:lvlText w:val=""/>
      <w:lvlJc w:val="left"/>
    </w:lvl>
    <w:lvl w:ilvl="5" w:tplc="91DAD794">
      <w:numFmt w:val="decimal"/>
      <w:lvlText w:val=""/>
      <w:lvlJc w:val="left"/>
    </w:lvl>
    <w:lvl w:ilvl="6" w:tplc="C94AB028">
      <w:numFmt w:val="decimal"/>
      <w:lvlText w:val=""/>
      <w:lvlJc w:val="left"/>
    </w:lvl>
    <w:lvl w:ilvl="7" w:tplc="6AB295CC">
      <w:numFmt w:val="decimal"/>
      <w:lvlText w:val=""/>
      <w:lvlJc w:val="left"/>
    </w:lvl>
    <w:lvl w:ilvl="8" w:tplc="421C9D10">
      <w:numFmt w:val="decimal"/>
      <w:lvlText w:val=""/>
      <w:lvlJc w:val="left"/>
    </w:lvl>
  </w:abstractNum>
  <w:abstractNum w:abstractNumId="1" w15:restartNumberingAfterBreak="0">
    <w:nsid w:val="22137A43"/>
    <w:multiLevelType w:val="hybridMultilevel"/>
    <w:tmpl w:val="528676EA"/>
    <w:lvl w:ilvl="0" w:tplc="54EEA2B0">
      <w:start w:val="1"/>
      <w:numFmt w:val="bullet"/>
      <w:lvlText w:val="●"/>
      <w:lvlJc w:val="left"/>
      <w:pPr>
        <w:ind w:left="720" w:hanging="360"/>
      </w:pPr>
    </w:lvl>
    <w:lvl w:ilvl="1" w:tplc="E4DEA4AA">
      <w:start w:val="1"/>
      <w:numFmt w:val="bullet"/>
      <w:lvlText w:val="○"/>
      <w:lvlJc w:val="left"/>
      <w:pPr>
        <w:ind w:left="1440" w:hanging="360"/>
      </w:pPr>
    </w:lvl>
    <w:lvl w:ilvl="2" w:tplc="92321126">
      <w:start w:val="1"/>
      <w:numFmt w:val="bullet"/>
      <w:lvlText w:val="■"/>
      <w:lvlJc w:val="left"/>
      <w:pPr>
        <w:ind w:left="2160" w:hanging="360"/>
      </w:pPr>
    </w:lvl>
    <w:lvl w:ilvl="3" w:tplc="4A18D3E0">
      <w:start w:val="1"/>
      <w:numFmt w:val="bullet"/>
      <w:lvlText w:val="●"/>
      <w:lvlJc w:val="left"/>
      <w:pPr>
        <w:ind w:left="2880" w:hanging="360"/>
      </w:pPr>
    </w:lvl>
    <w:lvl w:ilvl="4" w:tplc="E166A49C">
      <w:start w:val="1"/>
      <w:numFmt w:val="bullet"/>
      <w:lvlText w:val="○"/>
      <w:lvlJc w:val="left"/>
      <w:pPr>
        <w:ind w:left="3600" w:hanging="360"/>
      </w:pPr>
    </w:lvl>
    <w:lvl w:ilvl="5" w:tplc="6DAAA318">
      <w:start w:val="1"/>
      <w:numFmt w:val="bullet"/>
      <w:lvlText w:val="■"/>
      <w:lvlJc w:val="left"/>
      <w:pPr>
        <w:ind w:left="4320" w:hanging="360"/>
      </w:pPr>
    </w:lvl>
    <w:lvl w:ilvl="6" w:tplc="5B0E8A42">
      <w:start w:val="1"/>
      <w:numFmt w:val="bullet"/>
      <w:lvlText w:val="●"/>
      <w:lvlJc w:val="left"/>
      <w:pPr>
        <w:ind w:left="5040" w:hanging="360"/>
      </w:pPr>
    </w:lvl>
    <w:lvl w:ilvl="7" w:tplc="9CEED6EE">
      <w:start w:val="1"/>
      <w:numFmt w:val="bullet"/>
      <w:lvlText w:val="●"/>
      <w:lvlJc w:val="left"/>
      <w:pPr>
        <w:ind w:left="5760" w:hanging="360"/>
      </w:pPr>
    </w:lvl>
    <w:lvl w:ilvl="8" w:tplc="26CE036E">
      <w:start w:val="1"/>
      <w:numFmt w:val="bullet"/>
      <w:lvlText w:val="●"/>
      <w:lvlJc w:val="left"/>
      <w:pPr>
        <w:ind w:left="6480" w:hanging="360"/>
      </w:pPr>
    </w:lvl>
  </w:abstractNum>
  <w:num w:numId="1" w16cid:durableId="174006199">
    <w:abstractNumId w:val="1"/>
    <w:lvlOverride w:ilvl="0">
      <w:startOverride w:val="1"/>
    </w:lvlOverride>
  </w:num>
  <w:num w:numId="2" w16cid:durableId="518465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7E6"/>
    <w:rsid w:val="00327679"/>
    <w:rsid w:val="004117E6"/>
    <w:rsid w:val="00D12A1F"/>
    <w:rsid w:val="00EC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D16763"/>
  <w15:docId w15:val="{4BD1B38B-038F-7444-9D5A-8D7DEE55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1539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эксплуатации платформы корпоративных ИИ-агентов, август — сентябрь 2026</dc:title>
  <dc:creator>АО «Казахтелеком»</dc:creator>
  <cp:lastModifiedBy>Microsoft Office User</cp:lastModifiedBy>
  <cp:revision>2</cp:revision>
  <dcterms:created xsi:type="dcterms:W3CDTF">2026-10-08T11:23:00Z</dcterms:created>
  <dcterms:modified xsi:type="dcterms:W3CDTF">2026-10-09T05:45:00Z</dcterms:modified>
</cp:coreProperties>
</file>