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Client Interview Plan</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main goal of this website/how do you see this website being used?</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components are essential for the web page to accomplish this goal/using Facebook group as a basis, how much of this functionality do you see as useful for this site, how much seems too personal/or extraneous? </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components would be helpful, but not necessary?</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How much captain customization do you feel is necessary for this site as just the “Golan Brothers’” site?  What about if it were to go live for other teams?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Looking at the Site nav.png and main page.png is there anything that you don’t like, feel that we missed, or feel is too much or unnecessary?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During the interview directions and features of an updated version of the website, one for more teams than the one the original supported.  The main goal has not changed (create a site for teams to communicate effectively), only the scale and quality of interface is changing.  All the key features listed in the interview were implemented or at least attempted to be implemented in the “Golan Brothers’” site, with an additional helpful component being the file sharing and commenting on files.  It was stated that color scheme as well as logo are necessary features that client captains can alter at creation or at any other time during use of the site, as well as select which features they want for their team and alter permissions of members of the team.  The interview then devolved into interview technique at this point.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