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Heiti SC" w:hAnsi="Heiti SC" w:eastAsia="Heiti SC"/>
          <w:b/>
          <w:color w:val="0F375F"/>
          <w:sz w:val="48"/>
        </w:rPr>
        <w:t>工程测量技术总结报告</w:t>
      </w:r>
    </w:p>
    <w:p>
      <w:pPr>
        <w:spacing w:before="440"/>
        <w:jc w:val="center"/>
      </w:pPr>
      <w:r>
        <w:rPr>
          <w:b/>
        </w:rPr>
        <w:t>新城产业园西侧配套道路竣工测量项目</w:t>
      </w:r>
    </w:p>
    <w:p>
      <w:pPr>
        <w:jc w:val="center"/>
      </w:pPr>
      <w:r>
        <w:t>四川地质十一队（演示）</w:t>
      </w:r>
    </w:p>
    <w:p>
      <w:pPr>
        <w:jc w:val="center"/>
      </w:pPr>
      <w:r>
        <w:t>报告生成日期：2026-08-12</w:t>
      </w:r>
    </w:p>
    <w:p>
      <w:pPr>
        <w:jc w:val="center"/>
      </w:pPr>
      <w:r>
        <w:t>（MVP 演示样本，非正式测绘成果）</w:t>
      </w:r>
    </w:p>
    <w:p>
      <w:r>
        <w:br w:type="page"/>
      </w:r>
    </w:p>
    <w:p>
      <w:pPr>
        <w:pStyle w:val="Heading1"/>
      </w:pPr>
      <w:r>
        <w:t>一、项目概况</w:t>
      </w:r>
    </w:p>
    <w:p>
      <w:r>
        <w:t>用户未补充项目描述，以下内容依据导入矢量成果生成。。本项目处理 7 个空间要素，空间参考为 CGCS2000 / 3-degree Gauss-Kruger zone 37。未上传文本资料，建议补充任务书、设计书或作业记录。</w:t>
      </w:r>
    </w:p>
    <w:p>
      <w:pPr>
        <w:pStyle w:val="Heading1"/>
      </w:pPr>
      <w:r>
        <w:t>二、数据来源与处理口径</w:t>
      </w:r>
    </w:p>
    <w:p>
      <w:r>
        <w:t>本报告的数据统计由系统确定性 GIS 计算模块生成。面积按投影平面坐标的多边形鞋带公式计算，线长度按相邻顶点欧氏距离累计计算；文本由受控模板生成。</w:t>
      </w:r>
    </w:p>
    <w:p>
      <w:pPr>
        <w:pStyle w:val="Heading1"/>
      </w:pPr>
      <w:r>
        <w:t>三、技术路线</w:t>
      </w:r>
    </w:p>
    <w:p>
      <w:r>
        <w:t>外业成果经数据导入后，由 GIS 引擎完成几何类型识别、图层统计、面积长度计算及基础规则检查；系统将确定性计算结果作为报告数据来源。</w:t>
      </w:r>
    </w:p>
    <w:p>
      <w:pPr>
        <w:pStyle w:val="Heading1"/>
      </w:pPr>
      <w:r>
        <w:t>四、成果统计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  <w:vAlign w:val="center"/>
          </w:tcPr>
          <w:p>
            <w:r>
              <w:t>图层</w:t>
            </w:r>
          </w:p>
        </w:tc>
        <w:tc>
          <w:tcPr>
            <w:tcW w:type="dxa" w:w="2340"/>
            <w:shd w:fill="E8EEF5"/>
            <w:vAlign w:val="center"/>
          </w:tcPr>
          <w:p>
            <w:r>
              <w:t>要素数</w:t>
            </w:r>
          </w:p>
        </w:tc>
        <w:tc>
          <w:tcPr>
            <w:tcW w:type="dxa" w:w="2340"/>
            <w:shd w:fill="E8EEF5"/>
            <w:vAlign w:val="center"/>
          </w:tcPr>
          <w:p>
            <w:r>
              <w:t>面积（㎡）</w:t>
            </w:r>
          </w:p>
        </w:tc>
        <w:tc>
          <w:tcPr>
            <w:tcW w:type="dxa" w:w="2340"/>
            <w:shd w:fill="E8EEF5"/>
            <w:vAlign w:val="center"/>
          </w:tcPr>
          <w:p>
            <w:r>
              <w:t>长度（m）</w:t>
            </w:r>
          </w:p>
        </w:tc>
      </w:tr>
      <w:tr>
        <w:tc>
          <w:tcPr>
            <w:tcW w:type="dxa" w:w="2340"/>
          </w:tcPr>
          <w:p>
            <w:r>
              <w:t>项目范围</w:t>
            </w:r>
          </w:p>
        </w:tc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150000.00</w:t>
            </w:r>
          </w:p>
        </w:tc>
        <w:tc>
          <w:tcPr>
            <w:tcW w:type="dxa" w:w="2340"/>
          </w:tcPr>
          <w:p>
            <w:r>
              <w:t>—</w:t>
            </w:r>
          </w:p>
        </w:tc>
      </w:tr>
      <w:tr>
        <w:tc>
          <w:tcPr>
            <w:tcW w:type="dxa" w:w="2340"/>
          </w:tcPr>
          <w:p>
            <w:r>
              <w:t>道路中心线</w:t>
            </w:r>
          </w:p>
        </w:tc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—</w:t>
            </w:r>
          </w:p>
        </w:tc>
        <w:tc>
          <w:tcPr>
            <w:tcW w:type="dxa" w:w="2340"/>
          </w:tcPr>
          <w:p>
            <w:r>
              <w:t>587.49</w:t>
            </w:r>
          </w:p>
        </w:tc>
      </w:tr>
      <w:tr>
        <w:tc>
          <w:tcPr>
            <w:tcW w:type="dxa" w:w="2340"/>
          </w:tcPr>
          <w:p>
            <w:r>
              <w:t>控制点</w:t>
            </w:r>
          </w:p>
        </w:tc>
        <w:tc>
          <w:tcPr>
            <w:tcW w:type="dxa" w:w="2340"/>
          </w:tcPr>
          <w:p>
            <w:r>
              <w:t>3</w:t>
            </w:r>
          </w:p>
        </w:tc>
        <w:tc>
          <w:tcPr>
            <w:tcW w:type="dxa" w:w="2340"/>
          </w:tcPr>
          <w:p>
            <w:r>
              <w:t>—</w:t>
            </w:r>
          </w:p>
        </w:tc>
        <w:tc>
          <w:tcPr>
            <w:tcW w:type="dxa" w:w="2340"/>
          </w:tcPr>
          <w:p>
            <w:r>
              <w:t>—</w:t>
            </w:r>
          </w:p>
        </w:tc>
      </w:tr>
      <w:tr>
        <w:tc>
          <w:tcPr>
            <w:tcW w:type="dxa" w:w="2340"/>
          </w:tcPr>
          <w:p>
            <w:r>
              <w:t>绿化边界</w:t>
            </w:r>
          </w:p>
        </w:tc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3875.00</w:t>
            </w:r>
          </w:p>
        </w:tc>
        <w:tc>
          <w:tcPr>
            <w:tcW w:type="dxa" w:w="2340"/>
          </w:tcPr>
          <w:p>
            <w:r>
              <w:t>—</w:t>
            </w:r>
          </w:p>
        </w:tc>
      </w:tr>
    </w:tbl>
    <w:p>
      <w:pPr/>
      <w:r>
        <w:t>汇总：共处理 7 个要素；面状成果面积 153875.00 ㎡（15.3875 ha）；线状成果长度 587.49 m。</w:t>
      </w:r>
    </w:p>
    <w:p>
      <w:pPr>
        <w:pStyle w:val="Heading1"/>
      </w:pPr>
      <w:r>
        <w:t>五、质量检查与评价</w:t>
      </w:r>
    </w:p>
    <w:p>
      <w:r>
        <w:t>系统发现以下需复核项：</w:t>
      </w:r>
    </w:p>
    <w:p>
      <w:pPr>
        <w:pStyle w:val="ListBullet"/>
      </w:pPr>
      <w:r>
        <w:t>K003 标记为待复核</w:t>
      </w:r>
    </w:p>
    <w:p>
      <w:pPr>
        <w:pStyle w:val="ListBullet"/>
      </w:pPr>
      <w:r>
        <w:t>面要素包络可能重叠：AREA-001 / GR-001（需人工复核）</w:t>
      </w:r>
    </w:p>
    <w:p>
      <w:r>
        <w:t>系统检出 2 项需人工复核事项：K003 标记为待复核；面要素包络可能重叠：AREA-001 / GR-001（需人工复核）。 本评价为 AI 辅助初稿，最终结论须由项目负责人审核确认。</w:t>
      </w:r>
    </w:p>
    <w:p>
      <w:pPr>
        <w:pStyle w:val="Heading1"/>
      </w:pPr>
      <w:r>
        <w:t>六、结论与建议</w:t>
      </w:r>
    </w:p>
    <w:p>
      <w:r>
        <w:t>建议在归档前完成异常项复核，并核验项目资料、图件编号、精度指标及最终签章信息。</w:t>
      </w:r>
    </w:p>
    <w:p>
      <w:pPr>
        <w:pStyle w:val="Heading1"/>
      </w:pPr>
      <w:r>
        <w:t>附录 A：数据血缘记录</w:t>
      </w:r>
    </w:p>
    <w:p>
      <w:r>
        <w:t>源文件：用户上传 GIS 矢量成果；空间参考：CGCS2000 / 3-degree Gauss-Kruger zone 37；生成时间：2026-08-12；处理版本：MVP 0.3；文本生成：演示模式（未配置大模型）。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00"/>
    </w:pPr>
    <w:rPr>
      <w:rFonts w:ascii="Heiti SC" w:hAnsi="Heiti SC" w:eastAsia="Heiti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Heiti SC" w:hAnsi="Heiti SC" w:eastAsia="Heiti SC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Heiti SC" w:hAnsi="Heiti SC" w:eastAsia="Heiti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