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KT Report (Plan 7)</w:t>
      </w:r>
    </w:p>
    <w:p>
      <w:r>
        <w:t>### Weekly KT Status Report Summary</w:t>
        <w:br/>
        <w:br/>
        <w:t>#### Progress:</w:t>
        <w:br/>
        <w:t>The overall completion rate stands at 0%, indicating that no topics have been completed. This suggests a lack of progress or engagement in the learning platform.</w:t>
        <w:br/>
        <w:br/>
        <w:t>#### Risks &amp; Issues:</w:t>
        <w:br/>
        <w:t>1. **High Severity**: Lack of Topic Completions indicates that no topics have been completed, which may suggest a lack of progress or engagement in the learning platform.</w:t>
        <w:br/>
        <w:t>2. **Medium Severity**: No Attendance Records available, making it impossible to track participation and identify areas where learners might be struggling or disengaged.</w:t>
        <w:br/>
        <w:t>3. **High Severity**: The absence of Related Knowledge Base Context means there is no reference material or additional resources available for learners, which could hinder their understanding and retention of the material.</w:t>
        <w:br/>
        <w:br/>
        <w:t>#### Next Steps:</w:t>
        <w:br/>
        <w:t>1. Investigate the reasons behind the lack of topic completions and implement strategies to boost learner engagement.</w:t>
        <w:br/>
        <w:t>2. Establish a system for tracking attendance records to monitor participation and identify areas where learners may need support.</w:t>
        <w:br/>
        <w:t>3. Develop and integrate relevant knowledge base context to provide additional resources and enhance learning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