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6F6B"/>
          <w:sz w:val="56"/>
          <w:szCs w:val="56"/>
        </w:rPr>
        <w:t xml:space="preserve">Website Copy Reference</w:t>
      </w:r>
    </w:p>
    <w:p>
      <w:pPr>
        <w:spacing w:after="0" w:before="120"/>
        <w:jc w:val="center"/>
      </w:pPr>
      <w:r>
        <w:rPr>
          <w:color w:val="1A1A1A"/>
          <w:sz w:val="32"/>
          <w:szCs w:val="32"/>
        </w:rPr>
        <w:t xml:space="preserve">AISafetyWatch</w:t>
      </w:r>
    </w:p>
    <w:p>
      <w:pPr>
        <w:spacing w:after="0" w:before="40"/>
        <w:jc w:val="center"/>
      </w:pPr>
      <w:r>
        <w:rPr>
          <w:i/>
          <w:iCs/>
          <w:color w:val="555555"/>
          <w:sz w:val="22"/>
          <w:szCs w:val="22"/>
        </w:rPr>
        <w:t xml:space="preserve">Report distress you felt during or after using AI tools or social media.</w:t>
      </w:r>
    </w:p>
    <w:p>
      <w:pPr>
        <w:spacing w:after="0" w:before="600"/>
        <w:jc w:val="center"/>
      </w:pPr>
      <w:r>
        <w:rPr>
          <w:color w:val="555555"/>
          <w:sz w:val="20"/>
          <w:szCs w:val="20"/>
        </w:rPr>
        <w:t xml:space="preserve">All user-facing copy: descriptors, home, about, how it works, FAQ, blog, reporting, helplines, legal, contact.</w:t>
      </w:r>
    </w:p>
    <w:p>
      <w:pPr>
        <w:spacing w:after="0" w:before="40"/>
        <w:jc w:val="center"/>
      </w:pPr>
      <w:r>
        <w:rPr>
          <w:color w:val="555555"/>
          <w:sz w:val="18"/>
          <w:szCs w:val="18"/>
        </w:rPr>
        <w:t xml:space="preserve">Generated from src/site.config.ts and page components · aisafetywatch.com</w:t>
      </w:r>
    </w:p>
    <w:p>
      <w:r>
        <w:br w:type="page"/>
      </w:r>
    </w:p>
    <w:p>
      <w:pPr>
        <w:pStyle w:val="Heading1"/>
      </w:pPr>
      <w:r>
        <w:rPr>
          <w:color w:val="1F6F6B"/>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color w:val="1F6F6B"/>
        </w:rPr>
        <w:t xml:space="preserve">1. Brand identity &amp; taglines</w:t>
      </w:r>
    </w:p>
    <w:p>
      <w:pPr>
        <w:spacing w:after="120"/>
      </w:pPr>
      <w:r>
        <w:rPr>
          <w:i/>
          <w:iCs/>
          <w:color w:val="555555"/>
          <w:sz w:val="19"/>
          <w:szCs w:val="19"/>
        </w:rPr>
        <w:t xml:space="preserve">Defined once in src/site.config.ts. The active brand is “AISafetyWatch”; two alternate names (“AIjwerkingen”, “AdverseAI”) are configured for the same product and share the tagline below.</w:t>
      </w:r>
    </w:p>
    <w:p>
      <w:pPr>
        <w:pStyle w:val="Heading3"/>
        <w:spacing w:after="80" w:before="180"/>
      </w:pPr>
      <w:r>
        <w:rPr>
          <w:color w:val="1A1A1A"/>
        </w:rPr>
        <w:t xml:space="preserve">Brand name (wordmark)</w:t>
      </w:r>
    </w:p>
    <w:p>
      <w:pPr>
        <w:spacing w:after="120"/>
      </w:pPr>
      <w:r>
        <w:t xml:space="preserve">AISafetyWatch  —  set as “AI” (accent) + “SafetyWatch”.</w:t>
      </w:r>
    </w:p>
    <w:p>
      <w:pPr>
        <w:spacing w:after="60"/>
      </w:pPr>
      <w:r>
        <w:rPr>
          <w:b/>
          <w:bCs/>
          <w:color w:val="555555"/>
          <w:sz w:val="20"/>
          <w:szCs w:val="20"/>
        </w:rPr>
        <w:t xml:space="preserve">Alternate name: </w:t>
      </w:r>
      <w:r>
        <w:rPr>
          <w:i w:val="false"/>
          <w:iCs w:val="false"/>
          <w:color w:val="1A1A1A"/>
          <w:sz w:val="20"/>
          <w:szCs w:val="20"/>
        </w:rPr>
        <w:t xml:space="preserve">AIjwerkingen ("AI" + "jwerkingen")</w:t>
      </w:r>
    </w:p>
    <w:p>
      <w:pPr>
        <w:spacing w:after="60"/>
      </w:pPr>
      <w:r>
        <w:rPr>
          <w:b/>
          <w:bCs/>
          <w:color w:val="555555"/>
          <w:sz w:val="20"/>
          <w:szCs w:val="20"/>
        </w:rPr>
        <w:t xml:space="preserve">Alternate name: </w:t>
      </w:r>
      <w:r>
        <w:rPr>
          <w:i w:val="false"/>
          <w:iCs w:val="false"/>
          <w:color w:val="1A1A1A"/>
          <w:sz w:val="20"/>
          <w:szCs w:val="20"/>
        </w:rPr>
        <w:t xml:space="preserve">AdverseAI ("Adverse" + "AI")</w:t>
      </w:r>
    </w:p>
    <w:p>
      <w:pPr>
        <w:pStyle w:val="Heading3"/>
        <w:spacing w:after="80" w:before="180"/>
      </w:pPr>
      <w:r>
        <w:rPr>
          <w:color w:val="1A1A1A"/>
        </w:rPr>
        <w:t xml:space="preserve">Tagline (all brands)</w:t>
      </w:r>
    </w:p>
    <w:p>
      <w:pPr>
        <w:pBdr>
          <w:left w:val="single" w:color="1F6F6B" w:sz="18" w:space="12"/>
        </w:pBdr>
        <w:spacing w:after="120" w:before="60"/>
        <w:ind w:left="360"/>
      </w:pPr>
      <w:r>
        <w:rPr>
          <w:i/>
          <w:iCs/>
          <w:color w:val="555555"/>
        </w:rPr>
        <w:t xml:space="preserve">Report distress you felt during or after using AI tools or social media.</w:t>
      </w:r>
    </w:p>
    <w:p>
      <w:pPr>
        <w:pStyle w:val="Heading3"/>
        <w:spacing w:after="80" w:before="180"/>
      </w:pPr>
      <w:r>
        <w:rPr>
          <w:color w:val="1A1A1A"/>
        </w:rPr>
        <w:t xml:space="preserve">Contact &amp; canonical</w:t>
      </w:r>
    </w:p>
    <w:p>
      <w:pPr>
        <w:spacing w:after="60"/>
      </w:pPr>
      <w:r>
        <w:rPr>
          <w:b/>
          <w:bCs/>
          <w:color w:val="555555"/>
          <w:sz w:val="20"/>
          <w:szCs w:val="20"/>
        </w:rPr>
        <w:t xml:space="preserve">Canonical URL: </w:t>
      </w:r>
      <w:r>
        <w:rPr>
          <w:i w:val="false"/>
          <w:iCs w:val="false"/>
          <w:color w:val="1A1A1A"/>
          <w:sz w:val="20"/>
          <w:szCs w:val="20"/>
        </w:rPr>
        <w:t xml:space="preserve">https://aisafetywatch.com</w:t>
      </w:r>
    </w:p>
    <w:p>
      <w:pPr>
        <w:spacing w:after="60"/>
      </w:pPr>
      <w:r>
        <w:rPr>
          <w:b/>
          <w:bCs/>
          <w:color w:val="555555"/>
          <w:sz w:val="20"/>
          <w:szCs w:val="20"/>
        </w:rPr>
        <w:t xml:space="preserve">Contact email: </w:t>
      </w:r>
      <w:r>
        <w:rPr>
          <w:i w:val="false"/>
          <w:iCs w:val="false"/>
          <w:color w:val="1A1A1A"/>
          <w:sz w:val="20"/>
          <w:szCs w:val="20"/>
        </w:rPr>
        <w:t xml:space="preserve">hello@weareaivi.com</w:t>
      </w:r>
    </w:p>
    <w:p>
      <w:pPr>
        <w:spacing w:after="60"/>
      </w:pPr>
      <w:r>
        <w:rPr>
          <w:b/>
          <w:bCs/>
          <w:color w:val="555555"/>
          <w:sz w:val="20"/>
          <w:szCs w:val="20"/>
        </w:rPr>
        <w:t xml:space="preserve">Country: </w:t>
      </w:r>
      <w:r>
        <w:rPr>
          <w:i w:val="false"/>
          <w:iCs w:val="false"/>
          <w:color w:val="1A1A1A"/>
          <w:sz w:val="20"/>
          <w:szCs w:val="20"/>
        </w:rPr>
        <w:t xml:space="preserve">Netherlands (NL)</w:t>
      </w:r>
    </w:p>
    <w:p>
      <w:pPr>
        <w:spacing w:after="120"/>
      </w:pPr>
      <w:r>
        <w:rPr>
          <w:i/>
          <w:iCs/>
          <w:color w:val="555555"/>
          <w:sz w:val="19"/>
          <w:szCs w:val="19"/>
        </w:rPr>
        <w:t xml:space="preserve">Legal entity name, phone, and postal address are intentionally blank in config until an operating entity is registered — nothing is rendered while empty.</w:t>
      </w:r>
    </w:p>
    <w:p>
      <w:pPr>
        <w:pStyle w:val="Heading1"/>
        <w:spacing w:after="140" w:before="360"/>
      </w:pPr>
      <w:r>
        <w:rPr>
          <w:color w:val="1F6F6B"/>
        </w:rPr>
        <w:t xml:space="preserve">2. Global descriptors (SEO / meta)</w:t>
      </w:r>
    </w:p>
    <w:p>
      <w:pPr>
        <w:spacing w:after="120"/>
      </w:pPr>
      <w:r>
        <w:rPr>
          <w:i/>
          <w:iCs/>
          <w:color w:val="555555"/>
          <w:sz w:val="19"/>
          <w:szCs w:val="19"/>
        </w:rPr>
        <w:t xml:space="preserve">The site title, template, and default description applied across all pages (from layout.tsx).</w:t>
      </w:r>
    </w:p>
    <w:p>
      <w:pPr>
        <w:spacing w:after="60"/>
      </w:pPr>
      <w:r>
        <w:rPr>
          <w:b/>
          <w:bCs/>
          <w:color w:val="555555"/>
          <w:sz w:val="20"/>
          <w:szCs w:val="20"/>
        </w:rPr>
        <w:t xml:space="preserve">Site title (home): </w:t>
      </w:r>
      <w:r>
        <w:rPr>
          <w:i w:val="false"/>
          <w:iCs w:val="false"/>
          <w:color w:val="1A1A1A"/>
          <w:sz w:val="20"/>
          <w:szCs w:val="20"/>
        </w:rPr>
        <w:t xml:space="preserve">AISafetyWatch - Report distress from AI or social media</w:t>
      </w:r>
    </w:p>
    <w:p>
      <w:pPr>
        <w:spacing w:after="60"/>
      </w:pPr>
      <w:r>
        <w:rPr>
          <w:b/>
          <w:bCs/>
          <w:color w:val="555555"/>
          <w:sz w:val="20"/>
          <w:szCs w:val="20"/>
        </w:rPr>
        <w:t xml:space="preserve">Title template: </w:t>
      </w:r>
      <w:r>
        <w:rPr>
          <w:i w:val="false"/>
          <w:iCs w:val="false"/>
          <w:color w:val="1A1A1A"/>
          <w:sz w:val="20"/>
          <w:szCs w:val="20"/>
        </w:rPr>
        <w:t xml:space="preserve">%s - AISafetyWatch</w:t>
      </w:r>
    </w:p>
    <w:p>
      <w:pPr>
        <w:pStyle w:val="Heading3"/>
        <w:spacing w:after="80" w:before="180"/>
      </w:pPr>
      <w:r>
        <w:rPr>
          <w:color w:val="1A1A1A"/>
        </w:rPr>
        <w:t xml:space="preserve">Default meta description</w:t>
      </w:r>
    </w:p>
    <w:p>
      <w:pPr>
        <w:spacing w:after="120"/>
      </w:pPr>
      <w:r>
        <w:t xml:space="preserve">Report distress you felt during or after using a conversational AI tool, app, or social media platform. Fast, confidential, and free.</w:t>
      </w:r>
    </w:p>
    <w:p>
      <w:pPr>
        <w:pStyle w:val="Heading3"/>
        <w:spacing w:after="80" w:before="180"/>
      </w:pPr>
      <w:r>
        <w:rPr>
          <w:color w:val="1A1A1A"/>
        </w:rPr>
        <w:t xml:space="preserve">Open Graph image alt</w:t>
      </w:r>
    </w:p>
    <w:p>
      <w:pPr>
        <w:spacing w:after="120"/>
      </w:pPr>
      <w:r>
        <w:t xml:space="preserve">AISafetyWatch - Report distress you felt during or after using AI tools or social media.</w:t>
      </w:r>
    </w:p>
    <w:p>
      <w:pPr>
        <w:pStyle w:val="Heading2"/>
        <w:spacing w:after="100" w:before="260"/>
      </w:pPr>
      <w:r>
        <w:rPr>
          <w:color w:val="1A1A1A"/>
        </w:rPr>
        <w:t xml:space="preserve">Per-page meta descriptors</w:t>
      </w:r>
    </w:p>
    <w:p>
      <w:pPr>
        <w:spacing w:after="60"/>
      </w:pPr>
      <w:r>
        <w:rPr>
          <w:b/>
          <w:bCs/>
          <w:color w:val="555555"/>
          <w:sz w:val="20"/>
          <w:szCs w:val="20"/>
        </w:rPr>
        <w:t xml:space="preserve">Home: </w:t>
      </w:r>
      <w:r>
        <w:rPr>
          <w:i w:val="false"/>
          <w:iCs w:val="false"/>
          <w:color w:val="1A1A1A"/>
          <w:sz w:val="20"/>
          <w:szCs w:val="20"/>
        </w:rPr>
        <w:t xml:space="preserve">Report distress you felt during or after using a conversational AI tool, app, or social media platform. Fast, confidential, and free.</w:t>
      </w:r>
    </w:p>
    <w:p>
      <w:pPr>
        <w:spacing w:after="60"/>
      </w:pPr>
      <w:r>
        <w:rPr>
          <w:b/>
          <w:bCs/>
          <w:color w:val="555555"/>
          <w:sz w:val="20"/>
          <w:szCs w:val="20"/>
        </w:rPr>
        <w:t xml:space="preserve">About: </w:t>
      </w:r>
      <w:r>
        <w:rPr>
          <w:i w:val="false"/>
          <w:iCs w:val="false"/>
          <w:color w:val="1A1A1A"/>
          <w:sz w:val="20"/>
          <w:szCs w:val="20"/>
        </w:rPr>
        <w:t xml:space="preserve">Who is behind this reporting platform, how reports are used, and the research governance it operates under.</w:t>
      </w:r>
    </w:p>
    <w:p>
      <w:pPr>
        <w:spacing w:after="60"/>
      </w:pPr>
      <w:r>
        <w:rPr>
          <w:b/>
          <w:bCs/>
          <w:color w:val="555555"/>
          <w:sz w:val="20"/>
          <w:szCs w:val="20"/>
        </w:rPr>
        <w:t xml:space="preserve">How it works: </w:t>
      </w:r>
      <w:r>
        <w:rPr>
          <w:i w:val="false"/>
          <w:iCs w:val="false"/>
          <w:color w:val="1A1A1A"/>
          <w:sz w:val="20"/>
          <w:szCs w:val="20"/>
        </w:rPr>
        <w:t xml:space="preserve">What happens when you report distress linked to an AI tool or social media platform: what you're asked, what we store, and what your report contributes to.</w:t>
      </w:r>
    </w:p>
    <w:p>
      <w:pPr>
        <w:spacing w:after="60"/>
      </w:pPr>
      <w:r>
        <w:rPr>
          <w:b/>
          <w:bCs/>
          <w:color w:val="555555"/>
          <w:sz w:val="20"/>
          <w:szCs w:val="20"/>
        </w:rPr>
        <w:t xml:space="preserve">FAQ: </w:t>
      </w:r>
      <w:r>
        <w:rPr>
          <w:i w:val="false"/>
          <w:iCs w:val="false"/>
          <w:color w:val="1A1A1A"/>
          <w:sz w:val="20"/>
          <w:szCs w:val="20"/>
        </w:rPr>
        <w:t xml:space="preserve">Answers to common questions about reporting distress linked to an AI tool or social media platform: what to report, anonymity, what happens next, and who can report.</w:t>
      </w:r>
    </w:p>
    <w:p>
      <w:pPr>
        <w:spacing w:after="60"/>
      </w:pPr>
      <w:r>
        <w:rPr>
          <w:b/>
          <w:bCs/>
          <w:color w:val="555555"/>
          <w:sz w:val="20"/>
          <w:szCs w:val="20"/>
        </w:rPr>
        <w:t xml:space="preserve">Blog: </w:t>
      </w:r>
      <w:r>
        <w:rPr>
          <w:i w:val="false"/>
          <w:iCs w:val="false"/>
          <w:color w:val="1A1A1A"/>
          <w:sz w:val="20"/>
          <w:szCs w:val="20"/>
        </w:rPr>
        <w:t xml:space="preserve">Articles on recognising distress linked to AI tools and social media, how reporting works, and what the reports are telling us.</w:t>
      </w:r>
    </w:p>
    <w:p>
      <w:pPr>
        <w:spacing w:after="60"/>
      </w:pPr>
      <w:r>
        <w:rPr>
          <w:b/>
          <w:bCs/>
          <w:color w:val="555555"/>
          <w:sz w:val="20"/>
          <w:szCs w:val="20"/>
        </w:rPr>
        <w:t xml:space="preserve">Report: </w:t>
      </w:r>
      <w:r>
        <w:rPr>
          <w:i w:val="false"/>
          <w:iCs w:val="false"/>
          <w:color w:val="1A1A1A"/>
          <w:sz w:val="20"/>
          <w:szCs w:val="20"/>
        </w:rPr>
        <w:t xml:space="preserve">The public reporting platform launches soon. When it is live, the anonymous report form will appear here.</w:t>
      </w:r>
    </w:p>
    <w:p>
      <w:pPr>
        <w:spacing w:after="60"/>
      </w:pPr>
      <w:r>
        <w:rPr>
          <w:b/>
          <w:bCs/>
          <w:color w:val="555555"/>
          <w:sz w:val="20"/>
          <w:szCs w:val="20"/>
        </w:rPr>
        <w:t xml:space="preserve">Helplines: </w:t>
      </w:r>
      <w:r>
        <w:rPr>
          <w:i w:val="false"/>
          <w:iCs w:val="false"/>
          <w:color w:val="1A1A1A"/>
          <w:sz w:val="20"/>
          <w:szCs w:val="20"/>
        </w:rPr>
        <w:t xml:space="preserve">A directory of verified crisis helplines and mental-health resources worldwide. If you are in crisis, help is available.</w:t>
      </w:r>
    </w:p>
    <w:p>
      <w:pPr>
        <w:spacing w:after="60"/>
      </w:pPr>
      <w:r>
        <w:rPr>
          <w:b/>
          <w:bCs/>
          <w:color w:val="555555"/>
          <w:sz w:val="20"/>
          <w:szCs w:val="20"/>
        </w:rPr>
        <w:t xml:space="preserve">Contact: </w:t>
      </w:r>
      <w:r>
        <w:rPr>
          <w:i w:val="false"/>
          <w:iCs w:val="false"/>
          <w:color w:val="1A1A1A"/>
          <w:sz w:val="20"/>
          <w:szCs w:val="20"/>
        </w:rPr>
        <w:t xml:space="preserve">How to reach us with questions about the platform, your data, or the research. Not a route for emergencies or crisis support.</w:t>
      </w:r>
    </w:p>
    <w:p>
      <w:pPr>
        <w:spacing w:after="60"/>
      </w:pPr>
      <w:r>
        <w:rPr>
          <w:b/>
          <w:bCs/>
          <w:color w:val="555555"/>
          <w:sz w:val="20"/>
          <w:szCs w:val="20"/>
        </w:rPr>
        <w:t xml:space="preserve">Privacy: </w:t>
      </w:r>
      <w:r>
        <w:rPr>
          <w:i w:val="false"/>
          <w:iCs w:val="false"/>
          <w:color w:val="1A1A1A"/>
          <w:sz w:val="20"/>
          <w:szCs w:val="20"/>
        </w:rPr>
        <w:t xml:space="preserve">What we collect when you report distress linked to an AI tool or social media platform, why, how long we keep it, and your rights.</w:t>
      </w:r>
    </w:p>
    <w:p>
      <w:pPr>
        <w:spacing w:after="60"/>
      </w:pPr>
      <w:r>
        <w:rPr>
          <w:b/>
          <w:bCs/>
          <w:color w:val="555555"/>
          <w:sz w:val="20"/>
          <w:szCs w:val="20"/>
        </w:rPr>
        <w:t xml:space="preserve">Terms: </w:t>
      </w:r>
      <w:r>
        <w:rPr>
          <w:i w:val="false"/>
          <w:iCs w:val="false"/>
          <w:color w:val="1A1A1A"/>
          <w:sz w:val="20"/>
          <w:szCs w:val="20"/>
        </w:rPr>
        <w:t xml:space="preserve">The terms on which this reporting platform is offered, including what it is not: a crisis service, a source of medical advice, or a complaints channel.</w:t>
      </w:r>
    </w:p>
    <w:p>
      <w:pPr>
        <w:spacing w:after="60"/>
      </w:pPr>
      <w:r>
        <w:rPr>
          <w:b/>
          <w:bCs/>
          <w:color w:val="555555"/>
          <w:sz w:val="20"/>
          <w:szCs w:val="20"/>
        </w:rPr>
        <w:t xml:space="preserve">Accessibility: </w:t>
      </w:r>
      <w:r>
        <w:rPr>
          <w:i w:val="false"/>
          <w:iCs w:val="false"/>
          <w:color w:val="1A1A1A"/>
          <w:sz w:val="20"/>
          <w:szCs w:val="20"/>
        </w:rPr>
        <w:t xml:space="preserve">How accessible this platform is, the standard we aim to meet, the limitations we know about, and how to report a barrier.</w:t>
      </w:r>
    </w:p>
    <w:p>
      <w:pPr>
        <w:pStyle w:val="Heading1"/>
        <w:spacing w:after="140" w:before="360"/>
      </w:pPr>
      <w:r>
        <w:rPr>
          <w:color w:val="1F6F6B"/>
        </w:rPr>
        <w:t xml:space="preserve">3. Navigation, buttons &amp; footer</w:t>
      </w:r>
    </w:p>
    <w:p>
      <w:pPr>
        <w:pStyle w:val="Heading3"/>
        <w:spacing w:after="80" w:before="180"/>
      </w:pPr>
      <w:r>
        <w:rPr>
          <w:color w:val="1A1A1A"/>
        </w:rPr>
        <w:t xml:space="preserve">Header navigation</w:t>
      </w:r>
    </w:p>
    <w:p>
      <w:pPr>
        <w:pStyle w:val="ListParagraph"/>
        <w:numPr>
          <w:ilvl w:val="0"/>
          <w:numId w:val="2"/>
        </w:numPr>
        <w:spacing w:after="60"/>
      </w:pPr>
      <w:r>
        <w:t xml:space="preserve">About</w:t>
      </w:r>
    </w:p>
    <w:p>
      <w:pPr>
        <w:pStyle w:val="ListParagraph"/>
        <w:numPr>
          <w:ilvl w:val="0"/>
          <w:numId w:val="2"/>
        </w:numPr>
        <w:spacing w:after="60"/>
      </w:pPr>
      <w:r>
        <w:t xml:space="preserve">Blog</w:t>
      </w:r>
    </w:p>
    <w:p>
      <w:pPr>
        <w:pStyle w:val="ListParagraph"/>
        <w:numPr>
          <w:ilvl w:val="0"/>
          <w:numId w:val="2"/>
        </w:numPr>
        <w:spacing w:after="60"/>
      </w:pPr>
      <w:r>
        <w:t xml:space="preserve">FAQ</w:t>
      </w:r>
    </w:p>
    <w:p>
      <w:pPr>
        <w:pStyle w:val="ListParagraph"/>
        <w:numPr>
          <w:ilvl w:val="0"/>
          <w:numId w:val="2"/>
        </w:numPr>
        <w:spacing w:after="60"/>
      </w:pPr>
      <w:r>
        <w:t xml:space="preserve">Report your experience  (button; shortened to “Report” on mobile)</w:t>
      </w:r>
    </w:p>
    <w:p>
      <w:pPr>
        <w:pStyle w:val="Heading3"/>
        <w:spacing w:after="80" w:before="180"/>
      </w:pPr>
      <w:r>
        <w:rPr>
          <w:color w:val="1A1A1A"/>
        </w:rPr>
        <w:t xml:space="preserve">Recurring buttons / links</w:t>
      </w:r>
    </w:p>
    <w:p>
      <w:pPr>
        <w:pStyle w:val="ListParagraph"/>
        <w:numPr>
          <w:ilvl w:val="0"/>
          <w:numId w:val="2"/>
        </w:numPr>
        <w:spacing w:after="60"/>
      </w:pPr>
      <w:r>
        <w:t xml:space="preserve">Report your experience</w:t>
      </w:r>
    </w:p>
    <w:p>
      <w:pPr>
        <w:pStyle w:val="ListParagraph"/>
        <w:numPr>
          <w:ilvl w:val="0"/>
          <w:numId w:val="2"/>
        </w:numPr>
        <w:spacing w:after="60"/>
      </w:pPr>
      <w:r>
        <w:t xml:space="preserve">Common questions</w:t>
      </w:r>
    </w:p>
    <w:p>
      <w:pPr>
        <w:pStyle w:val="ListParagraph"/>
        <w:numPr>
          <w:ilvl w:val="0"/>
          <w:numId w:val="2"/>
        </w:numPr>
        <w:spacing w:after="60"/>
      </w:pPr>
      <w:r>
        <w:t xml:space="preserve">Start a report</w:t>
      </w:r>
    </w:p>
    <w:p>
      <w:pPr>
        <w:pStyle w:val="ListParagraph"/>
        <w:numPr>
          <w:ilvl w:val="0"/>
          <w:numId w:val="2"/>
        </w:numPr>
        <w:spacing w:after="60"/>
      </w:pPr>
      <w:r>
        <w:t xml:space="preserve">Skip to content</w:t>
      </w:r>
    </w:p>
    <w:p>
      <w:pPr>
        <w:pStyle w:val="Heading3"/>
        <w:spacing w:after="80" w:before="180"/>
      </w:pPr>
      <w:r>
        <w:rPr>
          <w:color w:val="1A1A1A"/>
        </w:rPr>
        <w:t xml:space="preserve">Footer — column “Site”</w:t>
      </w:r>
    </w:p>
    <w:p>
      <w:pPr>
        <w:pStyle w:val="ListParagraph"/>
        <w:numPr>
          <w:ilvl w:val="0"/>
          <w:numId w:val="2"/>
        </w:numPr>
        <w:spacing w:after="60"/>
      </w:pPr>
      <w:r>
        <w:t xml:space="preserve">Home</w:t>
      </w:r>
    </w:p>
    <w:p>
      <w:pPr>
        <w:pStyle w:val="ListParagraph"/>
        <w:numPr>
          <w:ilvl w:val="0"/>
          <w:numId w:val="2"/>
        </w:numPr>
        <w:spacing w:after="60"/>
      </w:pPr>
      <w:r>
        <w:t xml:space="preserve">About</w:t>
      </w:r>
    </w:p>
    <w:p>
      <w:pPr>
        <w:pStyle w:val="ListParagraph"/>
        <w:numPr>
          <w:ilvl w:val="0"/>
          <w:numId w:val="2"/>
        </w:numPr>
        <w:spacing w:after="60"/>
      </w:pPr>
      <w:r>
        <w:t xml:space="preserve">How it works</w:t>
      </w:r>
    </w:p>
    <w:p>
      <w:pPr>
        <w:pStyle w:val="ListParagraph"/>
        <w:numPr>
          <w:ilvl w:val="0"/>
          <w:numId w:val="2"/>
        </w:numPr>
        <w:spacing w:after="60"/>
      </w:pPr>
      <w:r>
        <w:t xml:space="preserve">Blog</w:t>
      </w:r>
    </w:p>
    <w:p>
      <w:pPr>
        <w:pStyle w:val="ListParagraph"/>
        <w:numPr>
          <w:ilvl w:val="0"/>
          <w:numId w:val="2"/>
        </w:numPr>
        <w:spacing w:after="60"/>
      </w:pPr>
      <w:r>
        <w:t xml:space="preserve">FAQ</w:t>
      </w:r>
    </w:p>
    <w:p>
      <w:pPr>
        <w:pStyle w:val="ListParagraph"/>
        <w:numPr>
          <w:ilvl w:val="0"/>
          <w:numId w:val="2"/>
        </w:numPr>
        <w:spacing w:after="60"/>
      </w:pPr>
      <w:r>
        <w:t xml:space="preserve">Report your experience</w:t>
      </w:r>
    </w:p>
    <w:p>
      <w:pPr>
        <w:pStyle w:val="ListParagraph"/>
        <w:numPr>
          <w:ilvl w:val="0"/>
          <w:numId w:val="2"/>
        </w:numPr>
        <w:spacing w:after="60"/>
      </w:pPr>
      <w:r>
        <w:t xml:space="preserve">Crisis helplines</w:t>
      </w:r>
    </w:p>
    <w:p>
      <w:pPr>
        <w:pStyle w:val="Heading3"/>
        <w:spacing w:after="80" w:before="180"/>
      </w:pPr>
      <w:r>
        <w:rPr>
          <w:color w:val="1A1A1A"/>
        </w:rPr>
        <w:t xml:space="preserve">Footer — column “Legal”</w:t>
      </w:r>
    </w:p>
    <w:p>
      <w:pPr>
        <w:pStyle w:val="ListParagraph"/>
        <w:numPr>
          <w:ilvl w:val="0"/>
          <w:numId w:val="2"/>
        </w:numPr>
        <w:spacing w:after="60"/>
      </w:pPr>
      <w:r>
        <w:t xml:space="preserve">Privacy notice</w:t>
      </w:r>
    </w:p>
    <w:p>
      <w:pPr>
        <w:pStyle w:val="ListParagraph"/>
        <w:numPr>
          <w:ilvl w:val="0"/>
          <w:numId w:val="2"/>
        </w:numPr>
        <w:spacing w:after="60"/>
      </w:pPr>
      <w:r>
        <w:t xml:space="preserve">Terms &amp; disclaimer</w:t>
      </w:r>
    </w:p>
    <w:p>
      <w:pPr>
        <w:pStyle w:val="ListParagraph"/>
        <w:numPr>
          <w:ilvl w:val="0"/>
          <w:numId w:val="2"/>
        </w:numPr>
        <w:spacing w:after="60"/>
      </w:pPr>
      <w:r>
        <w:t xml:space="preserve">Accessibility</w:t>
      </w:r>
    </w:p>
    <w:p>
      <w:pPr>
        <w:pStyle w:val="ListParagraph"/>
        <w:numPr>
          <w:ilvl w:val="0"/>
          <w:numId w:val="2"/>
        </w:numPr>
        <w:spacing w:after="60"/>
      </w:pPr>
      <w:r>
        <w:t xml:space="preserve">Contact</w:t>
      </w:r>
    </w:p>
    <w:p>
      <w:pPr>
        <w:pStyle w:val="Heading3"/>
        <w:spacing w:after="80" w:before="180"/>
      </w:pPr>
      <w:r>
        <w:rPr>
          <w:color w:val="1A1A1A"/>
        </w:rPr>
        <w:t xml:space="preserve">Footer — brand line &amp; copyright</w:t>
      </w:r>
    </w:p>
    <w:p>
      <w:pPr>
        <w:spacing w:after="120"/>
      </w:pPr>
      <w:r>
        <w:t xml:space="preserve">Report distress you felt during or after using AI tools or social media.</w:t>
      </w:r>
    </w:p>
    <w:p>
      <w:pPr>
        <w:spacing w:after="120"/>
      </w:pPr>
      <w:r>
        <w:t xml:space="preserve">© [year] AISafetyWatch</w:t>
      </w:r>
    </w:p>
    <w:p>
      <w:pPr>
        <w:spacing w:after="120"/>
      </w:pPr>
      <w:r>
        <w:rPr>
          <w:i/>
          <w:iCs/>
          <w:color w:val="555555"/>
          <w:sz w:val="19"/>
          <w:szCs w:val="19"/>
        </w:rPr>
        <w:t xml:space="preserve">Footer also carries the dynamic crisis-helpline notice (see §10) and an institutional provenance line that only appears once the research block is filled in: “A research instrument from [Department, Institution].”</w:t>
      </w:r>
    </w:p>
    <w:p>
      <w:pPr>
        <w:pStyle w:val="Heading1"/>
        <w:spacing w:after="140" w:before="360"/>
      </w:pPr>
      <w:r>
        <w:rPr>
          <w:color w:val="1F6F6B"/>
        </w:rPr>
        <w:t xml:space="preserve">4. Home page</w:t>
      </w:r>
    </w:p>
    <w:p>
      <w:pPr>
        <w:spacing w:after="40"/>
      </w:pPr>
      <w:r>
        <w:rPr>
          <w:b/>
          <w:bCs/>
          <w:color w:val="1F6F6B"/>
          <w:spacing w:val="30"/>
          <w:sz w:val="16"/>
          <w:szCs w:val="16"/>
        </w:rPr>
        <w:t xml:space="preserve">ANONYMOUS · FREE · A FEW MINUTES</w:t>
      </w:r>
    </w:p>
    <w:p>
      <w:pPr>
        <w:pStyle w:val="Heading3"/>
        <w:spacing w:after="80" w:before="180"/>
      </w:pPr>
      <w:r>
        <w:rPr>
          <w:color w:val="1A1A1A"/>
        </w:rPr>
        <w:t xml:space="preserve">Hero heading</w:t>
      </w:r>
    </w:p>
    <w:p>
      <w:pPr>
        <w:spacing w:after="120"/>
      </w:pPr>
      <w:r>
        <w:t xml:space="preserve">Feeling worse after using an AI tool or social media?</w:t>
      </w:r>
    </w:p>
    <w:p>
      <w:pPr>
        <w:pStyle w:val="Heading3"/>
        <w:spacing w:after="80" w:before="180"/>
      </w:pPr>
      <w:r>
        <w:rPr>
          <w:color w:val="1A1A1A"/>
        </w:rPr>
        <w:t xml:space="preserve">Hero body</w:t>
      </w:r>
    </w:p>
    <w:p>
      <w:pPr>
        <w:spacing w:after="120"/>
      </w:pPr>
      <w:r>
        <w:t xml:space="preserve">AISafetyWatch lets you report distress you felt during or after using a conversational AI tool, app, or social media platform - in a few minutes, whether it happened to you or someone you support. Your report helps spot patterns of harm earlier.</w:t>
      </w:r>
    </w:p>
    <w:p>
      <w:pPr>
        <w:pStyle w:val="Heading3"/>
        <w:spacing w:after="80" w:before="180"/>
      </w:pPr>
      <w:r>
        <w:rPr>
          <w:color w:val="1A1A1A"/>
        </w:rPr>
        <w:t xml:space="preserve">Hero CTAs</w:t>
      </w:r>
    </w:p>
    <w:p>
      <w:pPr>
        <w:pStyle w:val="ListParagraph"/>
        <w:numPr>
          <w:ilvl w:val="0"/>
          <w:numId w:val="2"/>
        </w:numPr>
        <w:spacing w:after="60"/>
      </w:pPr>
      <w:r>
        <w:t xml:space="preserve">Report your experience</w:t>
      </w:r>
    </w:p>
    <w:p>
      <w:pPr>
        <w:pStyle w:val="ListParagraph"/>
        <w:numPr>
          <w:ilvl w:val="0"/>
          <w:numId w:val="2"/>
        </w:numPr>
        <w:spacing w:after="60"/>
      </w:pPr>
      <w:r>
        <w:t xml:space="preserve">Common questions</w:t>
      </w:r>
    </w:p>
    <w:p>
      <w:pPr>
        <w:pStyle w:val="Heading3"/>
        <w:spacing w:after="80" w:before="180"/>
      </w:pPr>
      <w:r>
        <w:rPr>
          <w:color w:val="1A1A1A"/>
        </w:rPr>
        <w:t xml:space="preserve">Hero reassurance chips</w:t>
      </w:r>
    </w:p>
    <w:p>
      <w:pPr>
        <w:pStyle w:val="ListParagraph"/>
        <w:numPr>
          <w:ilvl w:val="0"/>
          <w:numId w:val="2"/>
        </w:numPr>
        <w:spacing w:after="60"/>
      </w:pPr>
      <w:r>
        <w:t xml:space="preserve">No account needed</w:t>
      </w:r>
    </w:p>
    <w:p>
      <w:pPr>
        <w:pStyle w:val="ListParagraph"/>
        <w:numPr>
          <w:ilvl w:val="0"/>
          <w:numId w:val="2"/>
        </w:numPr>
        <w:spacing w:after="60"/>
      </w:pPr>
      <w:r>
        <w:t xml:space="preserve">You can stop at any point</w:t>
      </w:r>
    </w:p>
    <w:p>
      <w:pPr>
        <w:pStyle w:val="ListParagraph"/>
        <w:numPr>
          <w:ilvl w:val="0"/>
          <w:numId w:val="2"/>
        </w:numPr>
        <w:spacing w:after="60"/>
      </w:pPr>
      <w:r>
        <w:t xml:space="preserve">Your words are enough</w:t>
      </w:r>
    </w:p>
    <w:p>
      <w:pPr>
        <w:pStyle w:val="Heading2"/>
        <w:spacing w:after="100" w:before="260"/>
      </w:pPr>
      <w:r>
        <w:rPr>
          <w:color w:val="1A1A1A"/>
        </w:rPr>
        <w:t xml:space="preserve">Section — Why report</w:t>
      </w:r>
    </w:p>
    <w:p>
      <w:pPr>
        <w:spacing w:after="40"/>
      </w:pPr>
      <w:r>
        <w:rPr>
          <w:b/>
          <w:bCs/>
          <w:color w:val="1F6F6B"/>
          <w:spacing w:val="30"/>
          <w:sz w:val="16"/>
          <w:szCs w:val="16"/>
        </w:rPr>
        <w:t xml:space="preserve">WHY REPORT</w:t>
      </w:r>
    </w:p>
    <w:p>
      <w:pPr>
        <w:spacing w:after="120"/>
      </w:pPr>
      <w:r>
        <w:rPr>
          <w:b/>
          <w:bCs/>
        </w:rPr>
        <w:t xml:space="preserve">For you alone, it may be a feeling. Together they are a signal.</w:t>
      </w:r>
    </w:p>
    <w:p>
      <w:pPr>
        <w:pStyle w:val="Heading3"/>
        <w:spacing w:after="80" w:before="180"/>
      </w:pPr>
      <w:r>
        <w:rPr>
          <w:color w:val="1A1A1A"/>
        </w:rPr>
        <w:t xml:space="preserve">Anonymous by default</w:t>
      </w:r>
    </w:p>
    <w:p>
      <w:pPr>
        <w:spacing w:after="120"/>
      </w:pPr>
      <w:r>
        <w:t xml:space="preserve">We collect only what's necessary to understand your report. No account required, and no name asked for.</w:t>
      </w:r>
    </w:p>
    <w:p>
      <w:pPr>
        <w:pStyle w:val="Heading3"/>
        <w:spacing w:after="80" w:before="180"/>
      </w:pPr>
      <w:r>
        <w:rPr>
          <w:color w:val="1A1A1A"/>
        </w:rPr>
        <w:t xml:space="preserve">A few minutes</w:t>
      </w:r>
    </w:p>
    <w:p>
      <w:pPr>
        <w:spacing w:after="120"/>
      </w:pPr>
      <w:r>
        <w:t xml:space="preserve">A short, plain-language form. No technical knowledge needed, and nothing you have to justify.</w:t>
      </w:r>
    </w:p>
    <w:p>
      <w:pPr>
        <w:pStyle w:val="Heading3"/>
        <w:spacing w:after="80" w:before="180"/>
      </w:pPr>
      <w:r>
        <w:rPr>
          <w:color w:val="1A1A1A"/>
        </w:rPr>
        <w:t xml:space="preserve">Built for monitoring</w:t>
      </w:r>
    </w:p>
    <w:p>
      <w:pPr>
        <w:spacing w:after="120"/>
      </w:pPr>
      <w:r>
        <w:t xml:space="preserve">Reports feed ongoing monitoring for patterns of harm across conversational AI tools and social media platforms.</w:t>
      </w:r>
    </w:p>
    <w:p>
      <w:pPr>
        <w:pStyle w:val="Heading2"/>
        <w:spacing w:after="100" w:before="260"/>
      </w:pPr>
      <w:r>
        <w:rPr>
          <w:color w:val="1A1A1A"/>
        </w:rPr>
        <w:t xml:space="preserve">Section — How it works</w:t>
      </w:r>
    </w:p>
    <w:p>
      <w:pPr>
        <w:spacing w:after="40"/>
      </w:pPr>
      <w:r>
        <w:rPr>
          <w:b/>
          <w:bCs/>
          <w:color w:val="1F6F6B"/>
          <w:spacing w:val="30"/>
          <w:sz w:val="16"/>
          <w:szCs w:val="16"/>
        </w:rPr>
        <w:t xml:space="preserve">HOW IT WORKS</w:t>
      </w:r>
    </w:p>
    <w:p>
      <w:pPr>
        <w:spacing w:after="120"/>
      </w:pPr>
      <w:r>
        <w:rPr>
          <w:b/>
          <w:bCs/>
        </w:rPr>
        <w:t xml:space="preserve">Three steps, in your own words</w:t>
      </w:r>
    </w:p>
    <w:p>
      <w:pPr>
        <w:pStyle w:val="Heading3"/>
        <w:spacing w:after="80" w:before="180"/>
      </w:pPr>
      <w:r>
        <w:rPr>
          <w:color w:val="1A1A1A"/>
        </w:rPr>
        <w:t xml:space="preserve">1 · Describe how you felt</w:t>
      </w:r>
    </w:p>
    <w:p>
      <w:pPr>
        <w:spacing w:after="120"/>
      </w:pPr>
      <w:r>
        <w:t xml:space="preserve">In plain language. Mild or overwhelming, during use or afterwards - if you noticed it, it counts.</w:t>
      </w:r>
    </w:p>
    <w:p>
      <w:pPr>
        <w:pStyle w:val="Heading3"/>
        <w:spacing w:after="80" w:before="180"/>
      </w:pPr>
      <w:r>
        <w:rPr>
          <w:color w:val="1A1A1A"/>
        </w:rPr>
        <w:t xml:space="preserve">2 · Add any context</w:t>
      </w:r>
    </w:p>
    <w:p>
      <w:pPr>
        <w:spacing w:after="120"/>
      </w:pPr>
      <w:r>
        <w:t xml:space="preserve">The tool or platform involved, and roughly when. An approximate name or a general description is fine.</w:t>
      </w:r>
    </w:p>
    <w:p>
      <w:pPr>
        <w:pStyle w:val="Heading3"/>
        <w:spacing w:after="80" w:before="180"/>
      </w:pPr>
      <w:r>
        <w:rPr>
          <w:color w:val="1A1A1A"/>
        </w:rPr>
        <w:t xml:space="preserve">3 · It becomes a signal</w:t>
      </w:r>
    </w:p>
    <w:p>
      <w:pPr>
        <w:spacing w:after="120"/>
      </w:pPr>
      <w:r>
        <w:t xml:space="preserve">Your report is reviewed alongside others to surface patterns that a single experience can't show on its own.</w:t>
      </w:r>
    </w:p>
    <w:p>
      <w:pPr>
        <w:pStyle w:val="Heading2"/>
        <w:spacing w:after="100" w:before="260"/>
      </w:pPr>
      <w:r>
        <w:rPr>
          <w:color w:val="1A1A1A"/>
        </w:rPr>
        <w:t xml:space="preserve">Section — Closing call to action</w:t>
      </w:r>
    </w:p>
    <w:p>
      <w:pPr>
        <w:spacing w:after="120"/>
      </w:pPr>
      <w:r>
        <w:rPr>
          <w:b/>
          <w:bCs/>
        </w:rPr>
        <w:t xml:space="preserve">Ready when you are</w:t>
      </w:r>
    </w:p>
    <w:p>
      <w:pPr>
        <w:spacing w:after="120"/>
      </w:pPr>
      <w:r>
        <w:t xml:space="preserve">You don’t need to be certain, and you don’t need to name every app. Start with what you remember.</w:t>
      </w:r>
    </w:p>
    <w:p>
      <w:pPr>
        <w:pStyle w:val="ListParagraph"/>
        <w:numPr>
          <w:ilvl w:val="0"/>
          <w:numId w:val="2"/>
        </w:numPr>
        <w:spacing w:after="60"/>
      </w:pPr>
      <w:r>
        <w:t xml:space="preserve">Report your experience</w:t>
      </w:r>
    </w:p>
    <w:p>
      <w:pPr>
        <w:pStyle w:val="Heading1"/>
        <w:spacing w:after="140" w:before="360"/>
      </w:pPr>
      <w:r>
        <w:rPr>
          <w:color w:val="1F6F6B"/>
        </w:rPr>
        <w:t xml:space="preserve">5. How reporting works (page)</w:t>
      </w:r>
    </w:p>
    <w:p>
      <w:pPr>
        <w:spacing w:after="40"/>
      </w:pPr>
      <w:r>
        <w:rPr>
          <w:b/>
          <w:bCs/>
          <w:color w:val="1F6F6B"/>
          <w:spacing w:val="30"/>
          <w:sz w:val="16"/>
          <w:szCs w:val="16"/>
        </w:rPr>
        <w:t xml:space="preserve">HOW IT WORKS</w:t>
      </w:r>
    </w:p>
    <w:p>
      <w:pPr>
        <w:spacing w:after="120"/>
      </w:pPr>
      <w:r>
        <w:rPr>
          <w:b/>
          <w:bCs/>
        </w:rPr>
        <w:t xml:space="preserve">What happens to your report</w:t>
      </w:r>
    </w:p>
    <w:p>
      <w:pPr>
        <w:spacing w:after="120"/>
      </w:pPr>
      <w:r>
        <w:t xml:space="preserve">Reporting takes a few minutes. Here is the whole of it, start to finish, so nothing is a surprise.</w:t>
      </w:r>
    </w:p>
    <w:p>
      <w:pPr>
        <w:pStyle w:val="Heading3"/>
        <w:spacing w:after="80" w:before="180"/>
      </w:pPr>
      <w:r>
        <w:rPr>
          <w:color w:val="1A1A1A"/>
        </w:rPr>
        <w:t xml:space="preserve">Step 1 — Describe how you felt</w:t>
      </w:r>
    </w:p>
    <w:p>
      <w:pPr>
        <w:spacing w:after="120"/>
      </w:pPr>
      <w:r>
        <w:t xml:space="preserve">In your own words. Mild or overwhelming, during use or afterwards. You don't need clinical language, and you don't need to be sure the tool is to blame.</w:t>
      </w:r>
    </w:p>
    <w:p>
      <w:pPr>
        <w:pStyle w:val="Heading3"/>
        <w:spacing w:after="80" w:before="180"/>
      </w:pPr>
      <w:r>
        <w:rPr>
          <w:color w:val="1A1A1A"/>
        </w:rPr>
        <w:t xml:space="preserve">Step 2 — Add any context you have</w:t>
      </w:r>
    </w:p>
    <w:p>
      <w:pPr>
        <w:spacing w:after="120"/>
      </w:pPr>
      <w:r>
        <w:t xml:space="preserve">Which tool or platform, and roughly when. An approximate name or a general description is enough. Everything beyond the essentials is optional.</w:t>
      </w:r>
    </w:p>
    <w:p>
      <w:pPr>
        <w:pStyle w:val="Heading3"/>
        <w:spacing w:after="80" w:before="180"/>
      </w:pPr>
      <w:r>
        <w:rPr>
          <w:color w:val="1A1A1A"/>
        </w:rPr>
        <w:t xml:space="preserve">Step 3 — Submit anonymously</w:t>
      </w:r>
    </w:p>
    <w:p>
      <w:pPr>
        <w:spacing w:after="120"/>
      </w:pPr>
      <w:r>
        <w:t xml:space="preserve">No account, no name. Contact details are optional and only used if you invite follow-up questions. You can stop at any point before submitting.</w:t>
      </w:r>
    </w:p>
    <w:p>
      <w:pPr>
        <w:pStyle w:val="Heading3"/>
        <w:spacing w:after="80" w:before="180"/>
      </w:pPr>
      <w:r>
        <w:rPr>
          <w:color w:val="1A1A1A"/>
        </w:rPr>
        <w:t xml:space="preserve">Step 4 — Your report joins the others</w:t>
      </w:r>
    </w:p>
    <w:p>
      <w:pPr>
        <w:spacing w:after="120"/>
      </w:pPr>
      <w:r>
        <w:t xml:space="preserve">It is reviewed alongside other reports to surface patterns that a single experience cannot show on its own.</w:t>
      </w:r>
    </w:p>
    <w:p>
      <w:pPr>
        <w:pStyle w:val="Heading3"/>
        <w:spacing w:after="80" w:before="180"/>
      </w:pPr>
      <w:r>
        <w:rPr>
          <w:color w:val="1A1A1A"/>
        </w:rPr>
        <w:t xml:space="preserve">What we store</w:t>
      </w:r>
    </w:p>
    <w:p>
      <w:pPr>
        <w:spacing w:after="120"/>
      </w:pPr>
      <w:r>
        <w:t xml:space="preserve">Only what is needed to understand the report: what you described, the tool or platform involved, and any optional context you chose to add. Reporting is anonymous by default - we do not ask for your name and you do not need an account. If you supply contact details, they are optional, clearly marked, and used only for follow-up.</w:t>
      </w:r>
    </w:p>
    <w:p>
      <w:pPr>
        <w:spacing w:after="120"/>
      </w:pPr>
      <w:r>
        <w:t xml:space="preserve">The privacy notice sets out the detail: purposes, retention, who processes the data, and your rights over it.</w:t>
      </w:r>
    </w:p>
    <w:p>
      <w:pPr>
        <w:pStyle w:val="Heading3"/>
        <w:spacing w:after="80" w:before="180"/>
      </w:pPr>
      <w:r>
        <w:rPr>
          <w:color w:val="1A1A1A"/>
        </w:rPr>
        <w:t xml:space="preserve">What it does not do</w:t>
      </w:r>
    </w:p>
    <w:p>
      <w:pPr>
        <w:spacing w:after="120"/>
      </w:pPr>
      <w:r>
        <w:t xml:space="preserve">Submitting a report does not contact the company involved on your behalf, does not produce a clinical assessment of your situation, and does not reach anyone in real time. This is not a crisis service - if you or someone else is in immediate danger, contact your local emergency number.</w:t>
      </w:r>
    </w:p>
    <w:p>
      <w:pPr>
        <w:pStyle w:val="Heading1"/>
        <w:spacing w:after="140" w:before="360"/>
      </w:pPr>
      <w:r>
        <w:rPr>
          <w:color w:val="1F6F6B"/>
        </w:rPr>
        <w:t xml:space="preserve">6. About page</w:t>
      </w:r>
    </w:p>
    <w:p>
      <w:pPr>
        <w:spacing w:after="40"/>
      </w:pPr>
      <w:r>
        <w:rPr>
          <w:b/>
          <w:bCs/>
          <w:color w:val="1F6F6B"/>
          <w:spacing w:val="30"/>
          <w:sz w:val="16"/>
          <w:szCs w:val="16"/>
        </w:rPr>
        <w:t xml:space="preserve">ABOUT</w:t>
      </w:r>
    </w:p>
    <w:p>
      <w:pPr>
        <w:spacing w:after="120"/>
      </w:pPr>
      <w:r>
        <w:rPr>
          <w:b/>
          <w:bCs/>
        </w:rPr>
        <w:t xml:space="preserve">Why this exists</w:t>
      </w:r>
    </w:p>
    <w:p>
      <w:pPr>
        <w:spacing w:after="120"/>
      </w:pPr>
      <w:r>
        <w:t xml:space="preserve">AISafetyWatch collects reports of distress that people notice during or after using conversational AI tools and social media, so that patterns of harm can be studied rather than guessed at.</w:t>
      </w:r>
    </w:p>
    <w:p>
      <w:pPr>
        <w:pStyle w:val="Heading3"/>
        <w:spacing w:after="80" w:before="180"/>
      </w:pPr>
      <w:r>
        <w:rPr>
          <w:color w:val="1A1A1A"/>
        </w:rPr>
        <w:t xml:space="preserve">The problem</w:t>
      </w:r>
    </w:p>
    <w:p>
      <w:pPr>
        <w:spacing w:after="120"/>
      </w:pPr>
      <w:r>
        <w:t xml:space="preserve">When a medicine causes an unexpected effect, there is somewhere to report it, and those reports accumulate into evidence. When a conversational AI tool or a social media platform leaves someone feeling worse - more anxious, more isolated, worse about their body, unable to stop - there is usually nowhere for that to go. It stays a private experience, and nothing aggregates.</w:t>
      </w:r>
    </w:p>
    <w:p>
      <w:pPr>
        <w:spacing w:after="120"/>
      </w:pPr>
      <w:r>
        <w:t xml:space="preserve">That absence is the gap this platform addresses. Not by treating digital tools as if they were drugs, but by taking seriously that distress linked to their use is real, is reportable, and becomes legible once enough people describe it.</w:t>
      </w:r>
    </w:p>
    <w:p>
      <w:pPr>
        <w:pStyle w:val="Heading3"/>
        <w:spacing w:after="80" w:before="180"/>
      </w:pPr>
      <w:r>
        <w:rPr>
          <w:color w:val="1A1A1A"/>
        </w:rPr>
        <w:t xml:space="preserve">What we do with reports</w:t>
      </w:r>
    </w:p>
    <w:p>
      <w:pPr>
        <w:spacing w:after="120"/>
      </w:pPr>
      <w:r>
        <w:t xml:space="preserve">Reports are reviewed as part of ongoing monitoring for patterns across tools and platforms. A single report is not a diagnosis and is never treated as one - it is one account among many. What makes it valuable is the aggregate: recurring descriptions, from unrelated people, of the same kind of harm around the same kind of product.</w:t>
      </w:r>
    </w:p>
    <w:p>
      <w:pPr>
        <w:spacing w:after="120"/>
      </w:pPr>
      <w:r>
        <w:t xml:space="preserve">We collect as little as possible to do that. Reporting is anonymous by default, needs no account, and asks for no name. Contact details are optional and only used if you invite follow-up.</w:t>
      </w:r>
    </w:p>
    <w:p>
      <w:pPr>
        <w:pStyle w:val="Heading3"/>
        <w:spacing w:after="80" w:before="180"/>
      </w:pPr>
      <w:r>
        <w:rPr>
          <w:color w:val="1A1A1A"/>
        </w:rPr>
        <w:t xml:space="preserve">What this is not</w:t>
      </w:r>
    </w:p>
    <w:p>
      <w:pPr>
        <w:spacing w:after="120"/>
      </w:pPr>
      <w:r>
        <w:t xml:space="preserve">This is not a crisis or emergency service, and reports are not read in real time. If you or someone else is in immediate danger, contact your local emergency number. In the Netherlands you can also reach 113 Zelfmoordpreventie (call 113 or 0800-0113).</w:t>
      </w:r>
    </w:p>
    <w:p>
      <w:pPr>
        <w:spacing w:after="120"/>
      </w:pPr>
      <w:r>
        <w:t xml:space="preserve">It is also not a support service, a complaints channel to the companies involved, or a route to individual advice. Reporting here will not get you a clinical opinion about your own situation - if you need one, speak to a health professional.</w:t>
      </w:r>
    </w:p>
    <w:p>
      <w:pPr>
        <w:pStyle w:val="Heading3"/>
        <w:spacing w:after="80" w:before="180"/>
      </w:pPr>
      <w:r>
        <w:rPr>
          <w:color w:val="1A1A1A"/>
        </w:rPr>
        <w:t xml:space="preserve">Governance  (shown only once the research block is filled in)</w:t>
      </w:r>
    </w:p>
    <w:p>
      <w:pPr>
        <w:spacing w:after="120"/>
      </w:pPr>
      <w:r>
        <w:t xml:space="preserve">This platform is operated as a research instrument, under the following accountability:</w:t>
      </w:r>
    </w:p>
    <w:p>
      <w:pPr>
        <w:spacing w:after="120"/>
      </w:pPr>
      <w:r>
        <w:rPr>
          <w:i/>
          <w:iCs/>
          <w:color w:val="555555"/>
          <w:sz w:val="19"/>
          <w:szCs w:val="19"/>
        </w:rPr>
        <w:t xml:space="preserve">Followed by a provenance list — Institution, Department, Responsible researcher, Ethics approval — each row rendered only when set in config. See §12, Team &amp; governance.</w:t>
      </w:r>
    </w:p>
    <w:p>
      <w:pPr>
        <w:pStyle w:val="Heading3"/>
        <w:spacing w:after="80" w:before="180"/>
      </w:pPr>
      <w:r>
        <w:rPr>
          <w:color w:val="1A1A1A"/>
        </w:rPr>
        <w:t xml:space="preserve">Questions</w:t>
      </w:r>
    </w:p>
    <w:p>
      <w:pPr>
        <w:spacing w:after="120"/>
      </w:pPr>
      <w:r>
        <w:t xml:space="preserve">The FAQ answers what to report, how anonymity works, and what happens next. For anything else, contact us - though please don’t use it for anything urgent.</w:t>
      </w:r>
    </w:p>
    <w:p>
      <w:pPr>
        <w:pStyle w:val="Heading1"/>
        <w:spacing w:after="140" w:before="360"/>
      </w:pPr>
      <w:r>
        <w:rPr>
          <w:color w:val="1F6F6B"/>
        </w:rPr>
        <w:t xml:space="preserve">7. Report page</w:t>
      </w:r>
    </w:p>
    <w:p>
      <w:pPr>
        <w:spacing w:after="40"/>
      </w:pPr>
      <w:r>
        <w:rPr>
          <w:b/>
          <w:bCs/>
          <w:color w:val="1F6F6B"/>
          <w:spacing w:val="30"/>
          <w:sz w:val="16"/>
          <w:szCs w:val="16"/>
        </w:rPr>
        <w:t xml:space="preserve">REPORT</w:t>
      </w:r>
    </w:p>
    <w:p>
      <w:pPr>
        <w:spacing w:after="120"/>
      </w:pPr>
      <w:r>
        <w:rPr>
          <w:b/>
          <w:bCs/>
        </w:rPr>
        <w:t xml:space="preserve">Report your experience</w:t>
      </w:r>
    </w:p>
    <w:p>
      <w:pPr>
        <w:spacing w:after="120"/>
      </w:pPr>
      <w:r>
        <w:t xml:space="preserve">Tell us how using an AI tool or social media left you feeling. This takes a few minutes. You don’t need an account, you don’t need proof, and you can stop at any point.</w:t>
      </w:r>
    </w:p>
    <w:p>
      <w:pPr>
        <w:pStyle w:val="Heading3"/>
        <w:spacing w:after="80" w:before="180"/>
      </w:pPr>
      <w:r>
        <w:rPr>
          <w:color w:val="1A1A1A"/>
        </w:rPr>
        <w:t xml:space="preserve">Assurance chips</w:t>
      </w:r>
    </w:p>
    <w:p>
      <w:pPr>
        <w:pStyle w:val="ListParagraph"/>
        <w:numPr>
          <w:ilvl w:val="0"/>
          <w:numId w:val="2"/>
        </w:numPr>
        <w:spacing w:after="60"/>
      </w:pPr>
      <w:r>
        <w:t xml:space="preserve">Anonymous by default</w:t>
      </w:r>
    </w:p>
    <w:p>
      <w:pPr>
        <w:pStyle w:val="ListParagraph"/>
        <w:numPr>
          <w:ilvl w:val="0"/>
          <w:numId w:val="2"/>
        </w:numPr>
        <w:spacing w:after="60"/>
      </w:pPr>
      <w:r>
        <w:t xml:space="preserve">No account required</w:t>
      </w:r>
    </w:p>
    <w:p>
      <w:pPr>
        <w:pStyle w:val="ListParagraph"/>
        <w:numPr>
          <w:ilvl w:val="0"/>
          <w:numId w:val="2"/>
        </w:numPr>
        <w:spacing w:after="60"/>
      </w:pPr>
      <w:r>
        <w:t xml:space="preserve">Contact details optional</w:t>
      </w:r>
    </w:p>
    <w:p>
      <w:pPr>
        <w:pStyle w:val="Heading3"/>
        <w:spacing w:after="80" w:before="180"/>
      </w:pPr>
      <w:r>
        <w:rPr>
          <w:color w:val="1A1A1A"/>
        </w:rPr>
        <w:t xml:space="preserve">“Launches soon” placeholder</w:t>
      </w:r>
    </w:p>
    <w:p>
      <w:pPr>
        <w:spacing w:after="120"/>
      </w:pPr>
      <w:r>
        <w:rPr>
          <w:b/>
          <w:bCs/>
        </w:rPr>
        <w:t xml:space="preserve">The reporting form launches soon</w:t>
      </w:r>
    </w:p>
    <w:p>
      <w:pPr>
        <w:spacing w:after="120"/>
      </w:pPr>
      <w:r>
        <w:t xml:space="preserve">The public reporting platform is nearly ready. When it launches, the anonymous report form will appear on this page. Until then, you can read about what we are building in the launch announcement.</w:t>
      </w:r>
    </w:p>
    <w:p>
      <w:pPr>
        <w:pStyle w:val="Heading3"/>
        <w:spacing w:after="80" w:before="180"/>
      </w:pPr>
      <w:r>
        <w:rPr>
          <w:color w:val="1A1A1A"/>
        </w:rPr>
        <w:t xml:space="preserve">Completion / thank-you state</w:t>
      </w:r>
    </w:p>
    <w:p>
      <w:pPr>
        <w:spacing w:after="120"/>
      </w:pPr>
      <w:r>
        <w:rPr>
          <w:b/>
          <w:bCs/>
        </w:rPr>
        <w:t xml:space="preserve">Thank you for your report</w:t>
      </w:r>
    </w:p>
    <w:p>
      <w:pPr>
        <w:spacing w:after="120"/>
      </w:pPr>
      <w:r>
        <w:t xml:space="preserve">Your experience has been recorded. Every report helps build a clearer picture of how AI can affect people’s wellbeing.</w:t>
      </w:r>
    </w:p>
    <w:p>
      <w:pPr>
        <w:pStyle w:val="ListParagraph"/>
        <w:numPr>
          <w:ilvl w:val="0"/>
          <w:numId w:val="2"/>
        </w:numPr>
        <w:spacing w:after="60"/>
      </w:pPr>
      <w:r>
        <w:t xml:space="preserve">Report another experience</w:t>
      </w:r>
    </w:p>
    <w:p>
      <w:pPr>
        <w:spacing w:after="120"/>
      </w:pPr>
      <w:r>
        <w:t xml:space="preserve">Need support right now? See crisis helplines.</w:t>
      </w:r>
    </w:p>
    <w:p>
      <w:pPr>
        <w:pStyle w:val="Heading3"/>
        <w:spacing w:after="80" w:before="180"/>
      </w:pPr>
      <w:r>
        <w:rPr>
          <w:color w:val="1A1A1A"/>
        </w:rPr>
        <w:t xml:space="preserve">Fallback / helper text</w:t>
      </w:r>
    </w:p>
    <w:p>
      <w:pPr>
        <w:spacing w:after="120"/>
      </w:pPr>
      <w:r>
        <w:t xml:space="preserve">Form not loading, or prefer a full page? Open it in a new tab.</w:t>
      </w:r>
    </w:p>
    <w:p>
      <w:pPr>
        <w:spacing w:after="120"/>
      </w:pPr>
      <w:r>
        <w:rPr>
          <w:i/>
          <w:iCs/>
          <w:color w:val="555555"/>
          <w:sz w:val="19"/>
          <w:szCs w:val="19"/>
        </w:rPr>
        <w:t xml:space="preserve">Team-preview gate (internal): label “Team preview password”, button “Unlock preview” / “Checking…”, errors “That password didn’t work.” and “Something went wrong. Please try again.”</w:t>
      </w:r>
    </w:p>
    <w:p>
      <w:pPr>
        <w:pStyle w:val="Heading1"/>
        <w:spacing w:after="140" w:before="360"/>
      </w:pPr>
      <w:r>
        <w:rPr>
          <w:color w:val="1F6F6B"/>
        </w:rPr>
        <w:t xml:space="preserve">8. FAQ page</w:t>
      </w:r>
    </w:p>
    <w:p>
      <w:pPr>
        <w:spacing w:after="40"/>
      </w:pPr>
      <w:r>
        <w:rPr>
          <w:b/>
          <w:bCs/>
          <w:color w:val="1F6F6B"/>
          <w:spacing w:val="30"/>
          <w:sz w:val="16"/>
          <w:szCs w:val="16"/>
        </w:rPr>
        <w:t xml:space="preserve">QUESTIONS</w:t>
      </w:r>
    </w:p>
    <w:p>
      <w:pPr>
        <w:spacing w:after="120"/>
      </w:pPr>
      <w:r>
        <w:rPr>
          <w:b/>
          <w:bCs/>
        </w:rPr>
        <w:t xml:space="preserve">Frequently asked questions</w:t>
      </w:r>
    </w:p>
    <w:p>
      <w:pPr>
        <w:spacing w:after="120"/>
      </w:pPr>
      <w:r>
        <w:t xml:space="preserve">Short, direct answers about reporting distress linked to AI tools and social media with AISafetyWatch. Still unsure about something? Start a report - you can stop at any point.</w:t>
      </w:r>
    </w:p>
    <w:p>
      <w:pPr>
        <w:pStyle w:val="Heading3"/>
        <w:spacing w:after="80" w:before="180"/>
      </w:pPr>
      <w:r>
        <w:rPr>
          <w:color w:val="1A1A1A"/>
        </w:rPr>
        <w:t xml:space="preserve">What should I report?</w:t>
      </w:r>
    </w:p>
    <w:p>
      <w:pPr>
        <w:spacing w:after="120"/>
      </w:pPr>
      <w:r>
        <w:t xml:space="preserve">Anything you felt that seems linked to using a conversational AI tool, app, or social media platform - during use or afterwards. Distress, anxiety, low mood, trouble sleeping, feeling worse about yourself, or something you can't quite put a name to. Mild or overwhelming. You don't need proof of a link; noticing it is enough. If you're unsure whether it qualifies, report it anyway and let it be assessed.</w:t>
      </w:r>
    </w:p>
    <w:p>
      <w:pPr>
        <w:pStyle w:val="Heading3"/>
        <w:spacing w:after="80" w:before="180"/>
      </w:pPr>
      <w:r>
        <w:rPr>
          <w:color w:val="1A1A1A"/>
        </w:rPr>
        <w:t xml:space="preserve">Which tools and platforms can I report?</w:t>
      </w:r>
    </w:p>
    <w:p>
      <w:pPr>
        <w:spacing w:after="120"/>
      </w:pPr>
      <w:r>
        <w:t xml:space="preserve">Any conversational AI tool (chatbots, AI companions, assistants) or digital/social media platform. It helps to include as much detail as you have - the app or platform name, and roughly when it happened - but an approximate name or description is enough to start a report.</w:t>
      </w:r>
    </w:p>
    <w:p>
      <w:pPr>
        <w:pStyle w:val="Heading3"/>
        <w:spacing w:after="80" w:before="180"/>
      </w:pPr>
      <w:r>
        <w:rPr>
          <w:color w:val="1A1A1A"/>
        </w:rPr>
        <w:t xml:space="preserve">What if I don't know which app was involved?</w:t>
      </w:r>
    </w:p>
    <w:p>
      <w:pPr>
        <w:spacing w:after="120"/>
      </w:pPr>
      <w:r>
        <w:t xml:space="preserve">That's fine - describe what you were using and how you felt as best you can. You're not expected to name every app with certainty; a general description of the tool or platform is enough to start a report.</w:t>
      </w:r>
    </w:p>
    <w:p>
      <w:pPr>
        <w:pStyle w:val="Heading3"/>
        <w:spacing w:after="80" w:before="180"/>
      </w:pPr>
      <w:r>
        <w:rPr>
          <w:color w:val="1A1A1A"/>
        </w:rPr>
        <w:t xml:space="preserve">Is my report anonymous?</w:t>
      </w:r>
    </w:p>
    <w:p>
      <w:pPr>
        <w:spacing w:after="120"/>
      </w:pPr>
      <w:r>
        <w:t xml:space="preserve">Yes, by default. We don't require your name, and we collect only what's necessary to understand the report. If you choose to share contact details for follow-up questions, that's optional and clearly marked before you submit.</w:t>
      </w:r>
    </w:p>
    <w:p>
      <w:pPr>
        <w:pStyle w:val="Heading3"/>
        <w:spacing w:after="80" w:before="180"/>
      </w:pPr>
      <w:r>
        <w:rPr>
          <w:color w:val="1A1A1A"/>
        </w:rPr>
        <w:t xml:space="preserve">What happens after I submit a report?</w:t>
      </w:r>
    </w:p>
    <w:p>
      <w:pPr>
        <w:spacing w:after="120"/>
      </w:pPr>
      <w:r>
        <w:t xml:space="preserve">Your report is logged and reviewed as part of ongoing monitoring for patterns of harm. An individual report isn't a diagnosis and isn't treated as one - it contributes to a broader signal that gets investigated over time.</w:t>
      </w:r>
    </w:p>
    <w:p>
      <w:pPr>
        <w:pStyle w:val="Heading3"/>
        <w:spacing w:after="80" w:before="180"/>
      </w:pPr>
      <w:r>
        <w:rPr>
          <w:color w:val="1A1A1A"/>
        </w:rPr>
        <w:t xml:space="preserve">Can professionals report too?</w:t>
      </w:r>
    </w:p>
    <w:p>
      <w:pPr>
        <w:spacing w:after="120"/>
      </w:pPr>
      <w:r>
        <w:t xml:space="preserve">Yes. The same form works for anyone affected, parents or carers, and professionals such as clinicians, educators, and researchers. Professionals may have access to more context, which is helpful but not required - the core questions are the same for everyone.</w:t>
      </w:r>
    </w:p>
    <w:p>
      <w:pPr>
        <w:pStyle w:val="Heading3"/>
        <w:spacing w:after="80" w:before="180"/>
      </w:pPr>
      <w:r>
        <w:rPr>
          <w:color w:val="1A1A1A"/>
        </w:rPr>
        <w:t xml:space="preserve">Can I report on behalf of my child?</w:t>
      </w:r>
    </w:p>
    <w:p>
      <w:pPr>
        <w:spacing w:after="120"/>
      </w:pPr>
      <w:r>
        <w:t xml:space="preserve">Yes. Parents and carers can submit a report on behalf of a child in their care. We're still finalizing our policy on reports involving minors; check back here for updates.</w:t>
      </w:r>
    </w:p>
    <w:p>
      <w:pPr>
        <w:pStyle w:val="Heading3"/>
        <w:spacing w:after="80" w:before="180"/>
      </w:pPr>
      <w:r>
        <w:rPr>
          <w:color w:val="1A1A1A"/>
        </w:rPr>
        <w:t xml:space="preserve">What if I'm not sure the tool or platform is to blame?</w:t>
      </w:r>
    </w:p>
    <w:p>
      <w:pPr>
        <w:spacing w:after="120"/>
      </w:pPr>
      <w:r>
        <w:t xml:space="preserve">That's fine - you're not expected to prove anything. Suspected links are exactly what this kind of reporting is for. Reviewers look across many reports to spot patterns that a single experience can't show on its own.</w:t>
      </w:r>
    </w:p>
    <w:p>
      <w:pPr>
        <w:pStyle w:val="Heading3"/>
        <w:spacing w:after="80" w:before="180"/>
      </w:pPr>
      <w:r>
        <w:rPr>
          <w:color w:val="1A1A1A"/>
        </w:rPr>
        <w:t xml:space="preserve">How long does reporting take?</w:t>
      </w:r>
    </w:p>
    <w:p>
      <w:pPr>
        <w:spacing w:after="120"/>
      </w:pPr>
      <w:r>
        <w:t xml:space="preserve">Most people finish in a few minutes. The form starts with the essentials and lets you add optional detail - like a longer description or supporting dates - only if you want to.</w:t>
      </w:r>
    </w:p>
    <w:p>
      <w:pPr>
        <w:pStyle w:val="Heading3"/>
        <w:spacing w:after="80" w:before="180"/>
      </w:pPr>
      <w:r>
        <w:rPr>
          <w:color w:val="1A1A1A"/>
        </w:rPr>
        <w:t xml:space="preserve">Is this a crisis or emergency service?</w:t>
      </w:r>
    </w:p>
    <w:p>
      <w:pPr>
        <w:spacing w:after="120"/>
      </w:pPr>
      <w:r>
        <w:t xml:space="preserve">No. This is not a crisis or emergency service, and reports are not read in real time. If you or someone else is in immediate danger, contact your local emergency number or a crisis line (e.g. in the Netherlands, 113 Zelfmoordpreventie) right away, then report here afterward if you still want to.</w:t>
      </w:r>
    </w:p>
    <w:p>
      <w:pPr>
        <w:pStyle w:val="Heading3"/>
        <w:spacing w:after="80" w:before="180"/>
      </w:pPr>
      <w:r>
        <w:rPr>
          <w:color w:val="1A1A1A"/>
        </w:rPr>
        <w:t xml:space="preserve">What data do you collect, and why?</w:t>
      </w:r>
    </w:p>
    <w:p>
      <w:pPr>
        <w:spacing w:after="120"/>
      </w:pPr>
      <w:r>
        <w:t xml:space="preserve">We collect only what's needed to understand and assess a report: how you felt, the tool or platform involved, and optional context. We don't require identifying information. Full detail on what's collected and why will be published in our privacy notice.</w:t>
      </w:r>
    </w:p>
    <w:p>
      <w:pPr>
        <w:pStyle w:val="Heading3"/>
        <w:spacing w:after="80" w:before="180"/>
      </w:pPr>
      <w:r>
        <w:rPr>
          <w:color w:val="1A1A1A"/>
        </w:rPr>
        <w:t xml:space="preserve">Will you contact the company I'm reporting?</w:t>
      </w:r>
    </w:p>
    <w:p>
      <w:pPr>
        <w:spacing w:after="120"/>
      </w:pPr>
      <w:r>
        <w:t xml:space="preserve">Not automatically, and not with anything that identifies you without your separate consent. Our policy for handling reports that name specific companies or people is still being finalized.</w:t>
      </w:r>
    </w:p>
    <w:p>
      <w:pPr>
        <w:pStyle w:val="Heading3"/>
        <w:spacing w:after="80" w:before="180"/>
      </w:pPr>
      <w:r>
        <w:rPr>
          <w:color w:val="1A1A1A"/>
        </w:rPr>
        <w:t xml:space="preserve">Closing prompt</w:t>
      </w:r>
    </w:p>
    <w:p>
      <w:pPr>
        <w:spacing w:after="120"/>
      </w:pPr>
      <w:r>
        <w:rPr>
          <w:b/>
          <w:bCs/>
        </w:rPr>
        <w:t xml:space="preserve">Didn’t find your question?</w:t>
      </w:r>
    </w:p>
    <w:p>
      <w:pPr>
        <w:spacing w:after="120"/>
      </w:pPr>
      <w:r>
        <w:t xml:space="preserve">You don’t need to resolve every doubt before reporting. Describe how you felt and let it be assessed.</w:t>
      </w:r>
    </w:p>
    <w:p>
      <w:pPr>
        <w:pStyle w:val="Heading1"/>
        <w:spacing w:after="140" w:before="360"/>
      </w:pPr>
      <w:r>
        <w:rPr>
          <w:color w:val="1F6F6B"/>
        </w:rPr>
        <w:t xml:space="preserve">9. Blog</w:t>
      </w:r>
    </w:p>
    <w:p>
      <w:pPr>
        <w:spacing w:after="40"/>
      </w:pPr>
      <w:r>
        <w:rPr>
          <w:b/>
          <w:bCs/>
          <w:color w:val="1F6F6B"/>
          <w:spacing w:val="30"/>
          <w:sz w:val="16"/>
          <w:szCs w:val="16"/>
        </w:rPr>
        <w:t xml:space="preserve">BLOG</w:t>
      </w:r>
    </w:p>
    <w:p>
      <w:pPr>
        <w:spacing w:after="120"/>
      </w:pPr>
      <w:r>
        <w:rPr>
          <w:b/>
          <w:bCs/>
        </w:rPr>
        <w:t xml:space="preserve">Writing on AI, distress, and reporting</w:t>
      </w:r>
    </w:p>
    <w:p>
      <w:pPr>
        <w:spacing w:after="120"/>
      </w:pPr>
      <w:r>
        <w:t xml:space="preserve">Articles, in the public interest, on spotting when an AI tool or social platform is affecting how you feel, and what happens to the reports you send us.</w:t>
      </w:r>
    </w:p>
    <w:p>
      <w:pPr>
        <w:spacing w:after="120"/>
      </w:pPr>
      <w:r>
        <w:rPr>
          <w:i/>
          <w:iCs/>
          <w:color w:val="555555"/>
        </w:rPr>
        <w:t xml:space="preserve">Empty state: “No posts yet - check back soon.”</w:t>
      </w:r>
    </w:p>
    <w:p>
      <w:pPr>
        <w:pStyle w:val="Heading2"/>
        <w:spacing w:after="100" w:before="260"/>
      </w:pPr>
      <w:r>
        <w:rPr>
          <w:color w:val="1A1A1A"/>
        </w:rPr>
        <w:t xml:space="preserve">Launching soon: a place to report AI side effects</w:t>
      </w:r>
    </w:p>
    <w:p>
      <w:pPr>
        <w:spacing w:after="80"/>
      </w:pPr>
      <w:r>
        <w:rPr>
          <w:b/>
          <w:bCs/>
          <w:color w:val="1F6F6B"/>
          <w:sz w:val="18"/>
          <w:szCs w:val="18"/>
        </w:rPr>
        <w:t xml:space="preserve">PUBLISHED (live)</w:t>
      </w:r>
    </w:p>
    <w:p>
      <w:pPr>
        <w:spacing w:after="60"/>
      </w:pPr>
      <w:r>
        <w:rPr>
          <w:b/>
          <w:bCs/>
          <w:color w:val="555555"/>
          <w:sz w:val="20"/>
          <w:szCs w:val="20"/>
        </w:rPr>
        <w:t xml:space="preserve">Description: </w:t>
      </w:r>
      <w:r>
        <w:rPr>
          <w:i w:val="false"/>
          <w:iCs w:val="false"/>
          <w:color w:val="1A1A1A"/>
          <w:sz w:val="20"/>
          <w:szCs w:val="20"/>
        </w:rPr>
        <w:t xml:space="preserve">A public reporting platform for distress people notice during or after using AI tools and social media. Anonymous, no account needed. Launching soon.</w:t>
      </w:r>
    </w:p>
    <w:p>
      <w:pPr>
        <w:spacing w:after="60"/>
      </w:pPr>
      <w:r>
        <w:rPr>
          <w:b/>
          <w:bCs/>
          <w:color w:val="555555"/>
          <w:sz w:val="20"/>
          <w:szCs w:val="20"/>
        </w:rPr>
        <w:t xml:space="preserve">Date: </w:t>
      </w:r>
      <w:r>
        <w:rPr>
          <w:i w:val="false"/>
          <w:iCs w:val="false"/>
          <w:color w:val="1A1A1A"/>
          <w:sz w:val="20"/>
          <w:szCs w:val="20"/>
        </w:rPr>
        <w:t xml:space="preserve">2026-08-12</w:t>
      </w:r>
    </w:p>
    <w:p>
      <w:pPr>
        <w:spacing w:after="60"/>
      </w:pPr>
      <w:r>
        <w:rPr>
          <w:b/>
          <w:bCs/>
          <w:color w:val="555555"/>
          <w:sz w:val="20"/>
          <w:szCs w:val="20"/>
        </w:rPr>
        <w:t xml:space="preserve">Author: </w:t>
      </w:r>
      <w:r>
        <w:rPr>
          <w:i w:val="false"/>
          <w:iCs w:val="false"/>
          <w:color w:val="1A1A1A"/>
          <w:sz w:val="20"/>
          <w:szCs w:val="20"/>
        </w:rPr>
        <w:t xml:space="preserve">AISafetyWatch team</w:t>
      </w:r>
    </w:p>
    <w:p>
      <w:pPr>
        <w:spacing w:after="60"/>
      </w:pPr>
      <w:r>
        <w:rPr>
          <w:b/>
          <w:bCs/>
          <w:color w:val="555555"/>
          <w:sz w:val="20"/>
          <w:szCs w:val="20"/>
        </w:rPr>
        <w:t xml:space="preserve">Tags: </w:t>
      </w:r>
      <w:r>
        <w:rPr>
          <w:i w:val="false"/>
          <w:iCs w:val="false"/>
          <w:color w:val="1A1A1A"/>
          <w:sz w:val="20"/>
          <w:szCs w:val="20"/>
        </w:rPr>
        <w:t xml:space="preserve">reporting, ai-safety, launch</w:t>
      </w:r>
    </w:p>
    <w:p>
      <w:pPr>
        <w:pStyle w:val="Heading3"/>
        <w:spacing w:after="80" w:before="180"/>
      </w:pPr>
      <w:r>
        <w:rPr>
          <w:color w:val="1A1A1A"/>
        </w:rPr>
        <w:t xml:space="preserve">Body</w:t>
      </w:r>
    </w:p>
    <w:p>
      <w:pPr>
        <w:spacing w:after="120"/>
      </w:pPr>
      <w:r>
        <w:t xml:space="preserve">When a medicine causes an unexpected effect, there is somewhere to report it, and those reports accumulate into evidence. When a conversational AI tool or a social media platform leaves someone feeling worse - more anxious, more isolated, unable to stop - there is usually nowhere for that to go. It stays a private experience, and nothing aggregates.</w:t>
      </w:r>
    </w:p>
    <w:p>
      <w:pPr>
        <w:spacing w:after="120"/>
      </w:pPr>
      <w:r>
        <w:t xml:space="preserve">We are launching a public reporting platform to change that. It collects reports of distress that people notice during or after using conversational AI tools and social media, so that patterns of harm can be studied rather than guessed at. Reporting is anonymous by default, needs no account, and asks for no name.</w:t>
      </w:r>
    </w:p>
    <w:p>
      <w:pPr>
        <w:spacing w:after="120"/>
      </w:pPr>
      <w:r>
        <w:t xml:space="preserve">The platform is part of a wider effort: the European Commission's living guidelines for the responsible use of generative AI in research, and the research behind them - Living guidelines for generative AI and ChatGPT: five priorities for research.</w:t>
      </w:r>
    </w:p>
    <w:p>
      <w:pPr>
        <w:spacing w:after="120"/>
      </w:pPr>
      <w:r>
        <w:t xml:space="preserve">The platform launches soon. When it is live, the report form will be here (/report).</w:t>
      </w:r>
    </w:p>
    <w:p>
      <w:pPr>
        <w:pStyle w:val="Heading2"/>
        <w:spacing w:after="100" w:before="260"/>
      </w:pPr>
      <w:r>
        <w:rPr>
          <w:color w:val="1A1A1A"/>
        </w:rPr>
        <w:t xml:space="preserve">Spotting when an AI tool is affecting how you feel</w:t>
      </w:r>
    </w:p>
    <w:p>
      <w:pPr>
        <w:spacing w:after="80"/>
      </w:pPr>
      <w:r>
        <w:rPr>
          <w:b/>
          <w:bCs/>
          <w:color w:val="B03030"/>
          <w:sz w:val="18"/>
          <w:szCs w:val="18"/>
        </w:rPr>
        <w:t xml:space="preserve">NOT PUBLISHED (published: false — draft/deactivated)</w:t>
      </w:r>
    </w:p>
    <w:p>
      <w:pPr>
        <w:spacing w:after="60"/>
      </w:pPr>
      <w:r>
        <w:rPr>
          <w:b/>
          <w:bCs/>
          <w:color w:val="555555"/>
          <w:sz w:val="20"/>
          <w:szCs w:val="20"/>
        </w:rPr>
        <w:t xml:space="preserve">Description: </w:t>
      </w:r>
      <w:r>
        <w:rPr>
          <w:i w:val="false"/>
          <w:iCs w:val="false"/>
          <w:color w:val="1A1A1A"/>
          <w:sz w:val="20"/>
          <w:szCs w:val="20"/>
        </w:rPr>
        <w:t xml:space="preserve">The early signs that a chatbot, app, or social feed is wearing on your wellbeing - and the small step you can take next.</w:t>
      </w:r>
    </w:p>
    <w:p>
      <w:pPr>
        <w:spacing w:after="60"/>
      </w:pPr>
      <w:r>
        <w:rPr>
          <w:b/>
          <w:bCs/>
          <w:color w:val="555555"/>
          <w:sz w:val="20"/>
          <w:szCs w:val="20"/>
        </w:rPr>
        <w:t xml:space="preserve">Date: </w:t>
      </w:r>
      <w:r>
        <w:rPr>
          <w:i w:val="false"/>
          <w:iCs w:val="false"/>
          <w:color w:val="1A1A1A"/>
          <w:sz w:val="20"/>
          <w:szCs w:val="20"/>
        </w:rPr>
        <w:t xml:space="preserve">2026-08-07</w:t>
      </w:r>
    </w:p>
    <w:p>
      <w:pPr>
        <w:spacing w:after="60"/>
      </w:pPr>
      <w:r>
        <w:rPr>
          <w:b/>
          <w:bCs/>
          <w:color w:val="555555"/>
          <w:sz w:val="20"/>
          <w:szCs w:val="20"/>
        </w:rPr>
        <w:t xml:space="preserve">Author: </w:t>
      </w:r>
      <w:r>
        <w:rPr>
          <w:i w:val="false"/>
          <w:iCs w:val="false"/>
          <w:color w:val="1A1A1A"/>
          <w:sz w:val="20"/>
          <w:szCs w:val="20"/>
        </w:rPr>
        <w:t xml:space="preserve">AISafetyWatch team</w:t>
      </w:r>
    </w:p>
    <w:p>
      <w:pPr>
        <w:spacing w:after="60"/>
      </w:pPr>
      <w:r>
        <w:rPr>
          <w:b/>
          <w:bCs/>
          <w:color w:val="555555"/>
          <w:sz w:val="20"/>
          <w:szCs w:val="20"/>
        </w:rPr>
        <w:t xml:space="preserve">Tags: </w:t>
      </w:r>
      <w:r>
        <w:rPr>
          <w:i w:val="false"/>
          <w:iCs w:val="false"/>
          <w:color w:val="1A1A1A"/>
          <w:sz w:val="20"/>
          <w:szCs w:val="20"/>
        </w:rPr>
        <w:t xml:space="preserve">guides, wellbeing</w:t>
      </w:r>
    </w:p>
    <w:p>
      <w:pPr>
        <w:pStyle w:val="Heading3"/>
        <w:spacing w:after="80" w:before="180"/>
      </w:pPr>
      <w:r>
        <w:rPr>
          <w:color w:val="1A1A1A"/>
        </w:rPr>
        <w:t xml:space="preserve">Body</w:t>
      </w:r>
    </w:p>
    <w:p>
      <w:pPr>
        <w:spacing w:after="120"/>
      </w:pPr>
      <w:r>
        <w:t xml:space="preserve">Most of us don't notice the moment a tool starts to cost us something. The shift is gradual: a little more time than we meant to spend, a slightly worse mood afterwards, a thought we can't quite shake. This post is a short guide to catching that earlier - and a reminder that noticing is enough to report it.</w:t>
      </w:r>
    </w:p>
    <w:p>
      <w:pPr>
        <w:spacing w:after="60" w:before="140"/>
      </w:pPr>
      <w:r>
        <w:rPr>
          <w:b/>
          <w:bCs/>
          <w:color w:val="1A1A1A"/>
        </w:rPr>
        <w:t xml:space="preserve">Why this is hard to see</w:t>
      </w:r>
    </w:p>
    <w:p>
      <w:pPr>
        <w:spacing w:after="120"/>
      </w:pPr>
      <w:r>
        <w:t xml:space="preserve">Conversational AI tools and social platforms are designed to hold attention. When something is engineered to keep you engaged, the signal that it's not serving you is easy to miss - it feels like your own choice, right up until it doesn't.</w:t>
      </w:r>
    </w:p>
    <w:p>
      <w:pPr>
        <w:spacing w:after="120"/>
      </w:pPr>
      <w:r>
        <w:t xml:space="preserve">You don't need to prove the tool caused how you feel. A suspected link is exactly what this kind of reporting is for.</w:t>
      </w:r>
    </w:p>
    <w:p>
      <w:pPr>
        <w:spacing w:after="60" w:before="140"/>
      </w:pPr>
      <w:r>
        <w:rPr>
          <w:b/>
          <w:bCs/>
          <w:color w:val="1A1A1A"/>
        </w:rPr>
        <w:t xml:space="preserve">Early signs worth noticing</w:t>
      </w:r>
    </w:p>
    <w:p>
      <w:pPr>
        <w:pStyle w:val="ListParagraph"/>
        <w:numPr>
          <w:ilvl w:val="0"/>
          <w:numId w:val="2"/>
        </w:numPr>
        <w:spacing w:after="60"/>
      </w:pPr>
      <w:r>
        <w:t xml:space="preserve">Afterwards, not during. You feel flat, anxious, or worse about yourself once you put the phone down - even if using it felt fine.</w:t>
      </w:r>
    </w:p>
    <w:p>
      <w:pPr>
        <w:pStyle w:val="ListParagraph"/>
        <w:numPr>
          <w:ilvl w:val="0"/>
          <w:numId w:val="2"/>
        </w:numPr>
        <w:spacing w:after="60"/>
      </w:pPr>
      <w:r>
        <w:t xml:space="preserve">The clock disagrees with you. You sit down for five minutes and look up an hour later, more often than you'd like.</w:t>
      </w:r>
    </w:p>
    <w:p>
      <w:pPr>
        <w:pStyle w:val="ListParagraph"/>
        <w:numPr>
          <w:ilvl w:val="0"/>
          <w:numId w:val="2"/>
        </w:numPr>
        <w:spacing w:after="60"/>
      </w:pPr>
      <w:r>
        <w:t xml:space="preserve">It follows you. A conversation or a post keeps replaying in your head when you're trying to do something else, or trying to sleep.</w:t>
      </w:r>
    </w:p>
    <w:p>
      <w:pPr>
        <w:pStyle w:val="ListParagraph"/>
        <w:numPr>
          <w:ilvl w:val="0"/>
          <w:numId w:val="2"/>
        </w:numPr>
        <w:spacing w:after="60"/>
      </w:pPr>
      <w:r>
        <w:t xml:space="preserve">You feel smaller. More self-critical, more compared-against, less sure of yourself than before you opened it.</w:t>
      </w:r>
    </w:p>
    <w:p>
      <w:pPr>
        <w:spacing w:after="120"/>
      </w:pPr>
      <w:r>
        <w:t xml:space="preserve">None of these is a diagnosis. Any one of them, mild or strong, is worth paying attention to.</w:t>
      </w:r>
    </w:p>
    <w:p>
      <w:pPr>
        <w:spacing w:after="60" w:before="140"/>
      </w:pPr>
      <w:r>
        <w:rPr>
          <w:b/>
          <w:bCs/>
          <w:color w:val="1A1A1A"/>
        </w:rPr>
        <w:t xml:space="preserve">A small step you can take</w:t>
      </w:r>
    </w:p>
    <w:p>
      <w:pPr>
        <w:spacing w:after="120"/>
      </w:pPr>
      <w:r>
        <w:t xml:space="preserve">If something above landed, you don't need to resolve every doubt first. Describe what you were using and how you felt, in your own words, and let it be assessed.</w:t>
      </w:r>
    </w:p>
    <w:p>
      <w:pPr>
        <w:pBdr>
          <w:left w:val="single" w:color="1F6F6B" w:sz="18" w:space="12"/>
        </w:pBdr>
        <w:spacing w:after="120" w:before="60"/>
        <w:ind w:left="360"/>
      </w:pPr>
      <w:r>
        <w:rPr>
          <w:i/>
          <w:iCs/>
          <w:color w:val="555555"/>
        </w:rPr>
        <w:t xml:space="preserve">This is not a crisis or emergency service. If you or someone else is in immediate danger, contact your local emergency number or a crisis line first.</w:t>
      </w:r>
    </w:p>
    <w:p>
      <w:pPr>
        <w:spacing w:after="120"/>
      </w:pPr>
      <w:r>
        <w:t xml:space="preserve">Reports like yours are read across many experiences at once - which is how a pattern that no single person could see on their own starts to become visible.</w:t>
      </w:r>
    </w:p>
    <w:p>
      <w:pPr>
        <w:pStyle w:val="Heading2"/>
        <w:spacing w:after="100" w:before="260"/>
      </w:pPr>
      <w:r>
        <w:rPr>
          <w:color w:val="1A1A1A"/>
        </w:rPr>
        <w:t xml:space="preserve">The rules for AI in research are now official - and designed to keep changing</w:t>
      </w:r>
    </w:p>
    <w:p>
      <w:pPr>
        <w:spacing w:after="80"/>
      </w:pPr>
      <w:r>
        <w:rPr>
          <w:b/>
          <w:bCs/>
          <w:color w:val="B03030"/>
          <w:sz w:val="18"/>
          <w:szCs w:val="18"/>
        </w:rPr>
        <w:t xml:space="preserve">NOT PUBLISHED (published: false)</w:t>
      </w:r>
    </w:p>
    <w:p>
      <w:pPr>
        <w:spacing w:after="60"/>
      </w:pPr>
      <w:r>
        <w:rPr>
          <w:b/>
          <w:bCs/>
          <w:color w:val="555555"/>
          <w:sz w:val="20"/>
          <w:szCs w:val="20"/>
        </w:rPr>
        <w:t xml:space="preserve">Description: </w:t>
      </w:r>
      <w:r>
        <w:rPr>
          <w:i w:val="false"/>
          <w:iCs w:val="false"/>
          <w:color w:val="1A1A1A"/>
          <w:sz w:val="20"/>
          <w:szCs w:val="20"/>
        </w:rPr>
        <w:t xml:space="preserve">The 'living guidelines' approach - scientists keeping oversight of generative AI in research - is now official European guidance. Here's what it says, and why it matters.</w:t>
      </w:r>
    </w:p>
    <w:p>
      <w:pPr>
        <w:spacing w:after="60"/>
      </w:pPr>
      <w:r>
        <w:rPr>
          <w:b/>
          <w:bCs/>
          <w:color w:val="555555"/>
          <w:sz w:val="20"/>
          <w:szCs w:val="20"/>
        </w:rPr>
        <w:t xml:space="preserve">Date: </w:t>
      </w:r>
      <w:r>
        <w:rPr>
          <w:i w:val="false"/>
          <w:iCs w:val="false"/>
          <w:color w:val="1A1A1A"/>
          <w:sz w:val="20"/>
          <w:szCs w:val="20"/>
        </w:rPr>
        <w:t xml:space="preserve">2026-08-07</w:t>
      </w:r>
    </w:p>
    <w:p>
      <w:pPr>
        <w:spacing w:after="60"/>
      </w:pPr>
      <w:r>
        <w:rPr>
          <w:b/>
          <w:bCs/>
          <w:color w:val="555555"/>
          <w:sz w:val="20"/>
          <w:szCs w:val="20"/>
        </w:rPr>
        <w:t xml:space="preserve">Author: </w:t>
      </w:r>
      <w:r>
        <w:rPr>
          <w:i w:val="false"/>
          <w:iCs w:val="false"/>
          <w:color w:val="1A1A1A"/>
          <w:sz w:val="20"/>
          <w:szCs w:val="20"/>
        </w:rPr>
        <w:t xml:space="preserve">AISafetyWatch team</w:t>
      </w:r>
    </w:p>
    <w:p>
      <w:pPr>
        <w:spacing w:after="60"/>
      </w:pPr>
      <w:r>
        <w:rPr>
          <w:b/>
          <w:bCs/>
          <w:color w:val="555555"/>
          <w:sz w:val="20"/>
          <w:szCs w:val="20"/>
        </w:rPr>
        <w:t xml:space="preserve">Tags: </w:t>
      </w:r>
      <w:r>
        <w:rPr>
          <w:i w:val="false"/>
          <w:iCs w:val="false"/>
          <w:color w:val="1A1A1A"/>
          <w:sz w:val="20"/>
          <w:szCs w:val="20"/>
        </w:rPr>
        <w:t xml:space="preserve">research, policy, guidelines</w:t>
      </w:r>
    </w:p>
    <w:p>
      <w:pPr>
        <w:pStyle w:val="Heading3"/>
        <w:spacing w:after="80" w:before="180"/>
      </w:pPr>
      <w:r>
        <w:rPr>
          <w:color w:val="1A1A1A"/>
        </w:rPr>
        <w:t xml:space="preserve">Body</w:t>
      </w:r>
    </w:p>
    <w:p>
      <w:pPr>
        <w:spacing w:after="120"/>
      </w:pPr>
      <w:r>
        <w:t xml:space="preserve">If you've used a chatbot to summarise a paper, draft an email, or make sense of a pile of data, you've been part of the biggest experiment in research culture in decades. Generative AI is everywhere in science - and for most of its short life, the rules for using it have been a patchwork: one guideline from your university, another from your funder, another from the journal you're submitting to.</w:t>
      </w:r>
    </w:p>
    <w:p>
      <w:pPr>
        <w:spacing w:after="120"/>
      </w:pPr>
      <w:r>
        <w:t xml:space="preserve">That's starting to change.</w:t>
      </w:r>
    </w:p>
    <w:p>
      <w:pPr>
        <w:spacing w:after="60" w:before="140"/>
      </w:pPr>
      <w:r>
        <w:rPr>
          <w:b/>
          <w:bCs/>
          <w:color w:val="1A1A1A"/>
        </w:rPr>
        <w:t xml:space="preserve">Scientists asked for rules that can keep up</w:t>
      </w:r>
    </w:p>
    <w:p>
      <w:pPr>
        <w:spacing w:after="120"/>
      </w:pPr>
      <w:r>
        <w:t xml:space="preserve">In late 2023, a group of researchers made the case in Nature that scientists themselves must oversee how generative AI is used in research - and that the guidance should be living: written to be updated as the technology changes, instead of frozen at the moment it was published. The argument was simple: AI tools bring real benefits to science - speed, accessibility, new ways to work with knowledge - but those benefits depend on humans staying responsible for the output.</w:t>
      </w:r>
    </w:p>
    <w:p>
      <w:pPr>
        <w:spacing w:after="120"/>
      </w:pPr>
      <w:r>
        <w:t xml:space="preserve">The same team had already called for five priorities for research with ChatGPT earlier that year. The living-guidelines idea was the follow-through: not a one-time code, but a process.</w:t>
      </w:r>
    </w:p>
    <w:p>
      <w:pPr>
        <w:spacing w:after="60" w:before="140"/>
      </w:pPr>
      <w:r>
        <w:rPr>
          <w:b/>
          <w:bCs/>
          <w:color w:val="1A1A1A"/>
        </w:rPr>
        <w:t xml:space="preserve">Europe made it official</w:t>
      </w:r>
    </w:p>
    <w:p>
      <w:pPr>
        <w:spacing w:after="120"/>
      </w:pPr>
      <w:r>
        <w:t xml:space="preserve">That approach is no longer just a proposal in a journal. It's now official European guidance: the Living guidelines on the responsible use of generative AI in research, published by the European Commission's research arm together with the ERA Forum - now in its third edition (May 2026), updated regularly by design.</w:t>
      </w:r>
    </w:p>
    <w:p>
      <w:pPr>
        <w:spacing w:after="120"/>
      </w:pPr>
      <w:r>
        <w:t xml:space="preserve">The guidelines speak to researchers, research organisations, and research funders. The core recommendations are strikingly plain:</w:t>
      </w:r>
    </w:p>
    <w:p>
      <w:pPr>
        <w:pStyle w:val="ListParagraph"/>
        <w:numPr>
          <w:ilvl w:val="0"/>
          <w:numId w:val="2"/>
        </w:numPr>
        <w:spacing w:after="60"/>
      </w:pPr>
      <w:r>
        <w:t xml:space="preserve">You stay responsible. AI systems are neither authors nor co-authors; researchers remain accountable for the integrity of what they produce, even when a tool helped.</w:t>
      </w:r>
    </w:p>
    <w:p>
      <w:pPr>
        <w:pStyle w:val="ListParagraph"/>
        <w:numPr>
          <w:ilvl w:val="0"/>
          <w:numId w:val="2"/>
        </w:numPr>
        <w:spacing w:after="60"/>
      </w:pPr>
      <w:r>
        <w:t xml:space="preserve">Be transparent. If generative AI substantially shaped the work, say so - in the methods, per your discipline's norms.</w:t>
      </w:r>
    </w:p>
    <w:p>
      <w:pPr>
        <w:pStyle w:val="ListParagraph"/>
        <w:numPr>
          <w:ilvl w:val="0"/>
          <w:numId w:val="2"/>
        </w:numPr>
        <w:spacing w:after="60"/>
      </w:pPr>
      <w:r>
        <w:t xml:space="preserve">Mind the limits. Bias, sycophantic answers, invented citations and black-box reasoning are named explicitly as things to check for, not to trust through.</w:t>
      </w:r>
    </w:p>
    <w:p>
      <w:pPr>
        <w:pStyle w:val="ListParagraph"/>
        <w:numPr>
          <w:ilvl w:val="0"/>
          <w:numId w:val="2"/>
        </w:numPr>
        <w:spacing w:after="60"/>
      </w:pPr>
      <w:r>
        <w:t xml:space="preserve">Protect what's sensitive. Don't upload unpublished work or personal data into tools that might train on it.</w:t>
      </w:r>
    </w:p>
    <w:p>
      <w:pPr>
        <w:spacing w:after="120"/>
      </w:pPr>
      <w:r>
        <w:t xml:space="preserve">None of this is about banning the tools. It's about keeping the human in charge - which is exactly the point the Nature comment made, now with the weight of official policy behind it.</w:t>
      </w:r>
    </w:p>
    <w:p>
      <w:pPr>
        <w:spacing w:after="60" w:before="140"/>
      </w:pPr>
      <w:r>
        <w:rPr>
          <w:b/>
          <w:bCs/>
          <w:color w:val="1A1A1A"/>
        </w:rPr>
        <w:t xml:space="preserve">Same experts, same spirit</w:t>
      </w:r>
    </w:p>
    <w:p>
      <w:pPr>
        <w:spacing w:after="120"/>
      </w:pPr>
      <w:r>
        <w:t xml:space="preserve">Why does this matter here? Because this site comes from the same experts who pushed for living guidelines - and the same conviction that careful, human oversight of AI is a public-interest question, not just a lab-hygiene one. Reporting how an AI tool made you feel (/report) is part of that same spirit: a way for observation by many people to feed back into oversight.</w:t>
      </w:r>
    </w:p>
    <w:p>
      <w:pPr>
        <w:spacing w:after="120"/>
      </w:pPr>
      <w:r>
        <w:t xml:space="preserve">The rules for AI in research are official now. The reason they're "living" is that the technology isn't done changing - and neither are we.</w:t>
      </w:r>
    </w:p>
    <w:p>
      <w:pPr>
        <w:spacing w:after="60" w:before="140"/>
      </w:pPr>
      <w:r>
        <w:rPr>
          <w:b/>
          <w:bCs/>
          <w:color w:val="1A1A1A"/>
        </w:rPr>
        <w:t xml:space="preserve">Sources</w:t>
      </w:r>
    </w:p>
    <w:p>
      <w:pPr>
        <w:pStyle w:val="ListParagraph"/>
        <w:numPr>
          <w:ilvl w:val="0"/>
          <w:numId w:val="2"/>
        </w:numPr>
        <w:spacing w:after="60"/>
      </w:pPr>
      <w:r>
        <w:t xml:space="preserve">Bockting, van Dis, van Rooij, Zuidema &amp; Bollen - Living guidelines for generative AI: why scientists must oversee its use, Nature 622, 693–696 (2023).</w:t>
      </w:r>
    </w:p>
    <w:p>
      <w:pPr>
        <w:pStyle w:val="ListParagraph"/>
        <w:numPr>
          <w:ilvl w:val="0"/>
          <w:numId w:val="2"/>
        </w:numPr>
        <w:spacing w:after="60"/>
      </w:pPr>
      <w:r>
        <w:t xml:space="preserve">European Commission, DG Research and Innovation - Living guidelines on the responsible use of generative AI in research (ERA Forum, 3rd ed., May 2026).</w:t>
      </w:r>
    </w:p>
    <w:p>
      <w:pPr>
        <w:pStyle w:val="ListParagraph"/>
        <w:numPr>
          <w:ilvl w:val="0"/>
          <w:numId w:val="2"/>
        </w:numPr>
        <w:spacing w:after="60"/>
      </w:pPr>
      <w:r>
        <w:t xml:space="preserve">van Dis et al. - ChatGPT: five priorities for research, Nature 614, 224–226 (2023).</w:t>
      </w:r>
    </w:p>
    <w:p>
      <w:pPr>
        <w:pStyle w:val="Heading2"/>
        <w:spacing w:after="100" w:before="260"/>
      </w:pPr>
      <w:r>
        <w:rPr>
          <w:color w:val="1A1A1A"/>
        </w:rPr>
        <w:t xml:space="preserve">Before the guidelines: five priorities for ChatGPT in research</w:t>
      </w:r>
    </w:p>
    <w:p>
      <w:pPr>
        <w:spacing w:after="80"/>
      </w:pPr>
      <w:r>
        <w:rPr>
          <w:b/>
          <w:bCs/>
          <w:color w:val="B03030"/>
          <w:sz w:val="18"/>
          <w:szCs w:val="18"/>
        </w:rPr>
        <w:t xml:space="preserve">NOT PUBLISHED (published: false)</w:t>
      </w:r>
    </w:p>
    <w:p>
      <w:pPr>
        <w:spacing w:after="60"/>
      </w:pPr>
      <w:r>
        <w:rPr>
          <w:b/>
          <w:bCs/>
          <w:color w:val="555555"/>
          <w:sz w:val="20"/>
          <w:szCs w:val="20"/>
        </w:rPr>
        <w:t xml:space="preserve">Description: </w:t>
      </w:r>
      <w:r>
        <w:rPr>
          <w:i w:val="false"/>
          <w:iCs w:val="false"/>
          <w:color w:val="1A1A1A"/>
          <w:sz w:val="20"/>
          <w:szCs w:val="20"/>
        </w:rPr>
        <w:t xml:space="preserve">In early 2023, a group of scientists wrote five priorities for using ChatGPT in research - the seed of today's living guidelines and official EU policy. Here's what they said, and why it still matters.</w:t>
      </w:r>
    </w:p>
    <w:p>
      <w:pPr>
        <w:spacing w:after="60"/>
      </w:pPr>
      <w:r>
        <w:rPr>
          <w:b/>
          <w:bCs/>
          <w:color w:val="555555"/>
          <w:sz w:val="20"/>
          <w:szCs w:val="20"/>
        </w:rPr>
        <w:t xml:space="preserve">Date: </w:t>
      </w:r>
      <w:r>
        <w:rPr>
          <w:i w:val="false"/>
          <w:iCs w:val="false"/>
          <w:color w:val="1A1A1A"/>
          <w:sz w:val="20"/>
          <w:szCs w:val="20"/>
        </w:rPr>
        <w:t xml:space="preserve">2026-08-07</w:t>
      </w:r>
    </w:p>
    <w:p>
      <w:pPr>
        <w:spacing w:after="60"/>
      </w:pPr>
      <w:r>
        <w:rPr>
          <w:b/>
          <w:bCs/>
          <w:color w:val="555555"/>
          <w:sz w:val="20"/>
          <w:szCs w:val="20"/>
        </w:rPr>
        <w:t xml:space="preserve">Author: </w:t>
      </w:r>
      <w:r>
        <w:rPr>
          <w:i w:val="false"/>
          <w:iCs w:val="false"/>
          <w:color w:val="1A1A1A"/>
          <w:sz w:val="20"/>
          <w:szCs w:val="20"/>
        </w:rPr>
        <w:t xml:space="preserve">AISafetyWatch team</w:t>
      </w:r>
    </w:p>
    <w:p>
      <w:pPr>
        <w:spacing w:after="60"/>
      </w:pPr>
      <w:r>
        <w:rPr>
          <w:b/>
          <w:bCs/>
          <w:color w:val="555555"/>
          <w:sz w:val="20"/>
          <w:szCs w:val="20"/>
        </w:rPr>
        <w:t xml:space="preserve">Tags: </w:t>
      </w:r>
      <w:r>
        <w:rPr>
          <w:i w:val="false"/>
          <w:iCs w:val="false"/>
          <w:color w:val="1A1A1A"/>
          <w:sz w:val="20"/>
          <w:szCs w:val="20"/>
        </w:rPr>
        <w:t xml:space="preserve">research, guidelines, history</w:t>
      </w:r>
    </w:p>
    <w:p>
      <w:pPr>
        <w:pStyle w:val="Heading3"/>
        <w:spacing w:after="80" w:before="180"/>
      </w:pPr>
      <w:r>
        <w:rPr>
          <w:color w:val="1A1A1A"/>
        </w:rPr>
        <w:t xml:space="preserve">Body</w:t>
      </w:r>
    </w:p>
    <w:p>
      <w:pPr>
        <w:spacing w:after="120"/>
      </w:pPr>
      <w:r>
        <w:t xml:space="preserve">When ChatGPT arrived in late 2022, scientists put it to work almost immediately - writing essays, summarising literature, drafting papers, even writing code for statistical analyses. Some celebrated. Many worried. A small group of researchers - including the team behind this site - decided the conversation needed structure.</w:t>
      </w:r>
    </w:p>
    <w:p>
      <w:pPr>
        <w:spacing w:after="120"/>
      </w:pPr>
      <w:r>
        <w:t xml:space="preserve">So in early 2023, they published five priorities for research with ChatGPT in Nature. Their starting point was simple and, at the time, unusual: banning the technology wouldn't work, so the real question was how to use it responsibly. Today, with living guidelines adopted as official European guidance, those five priorities read like the seed of everything that followed.</w:t>
      </w:r>
    </w:p>
    <w:p>
      <w:pPr>
        <w:spacing w:after="60" w:before="140"/>
      </w:pPr>
      <w:r>
        <w:rPr>
          <w:b/>
          <w:bCs/>
          <w:color w:val="1A1A1A"/>
        </w:rPr>
        <w:t xml:space="preserve">1. Hold on to human verification</w:t>
      </w:r>
    </w:p>
    <w:p>
      <w:pPr>
        <w:spacing w:after="120"/>
      </w:pPr>
      <w:r>
        <w:t xml:space="preserve">ChatGPT's text is convincing - and often wrong. The authors put it to the test: asked about depression relapse after treatment, the chatbot claimed treatment effects are typically long-lasting, when high-quality studies put the relapse risk at 29–51% within the first 2–4 years. Asked to summarise their own systematic review, it said the review covered 46 studies - it covered 69 - and exaggerated the treatment's effectiveness.</w:t>
      </w:r>
    </w:p>
    <w:p>
      <w:pPr>
        <w:spacing w:after="120"/>
      </w:pPr>
      <w:r>
        <w:t xml:space="preserve">The conclusion: expert fact-checking stays indispensable, and humans remain accountable for science, whatever the tool.</w:t>
      </w:r>
    </w:p>
    <w:p>
      <w:pPr>
        <w:spacing w:after="60" w:before="140"/>
      </w:pPr>
      <w:r>
        <w:rPr>
          <w:b/>
          <w:bCs/>
          <w:color w:val="1A1A1A"/>
        </w:rPr>
        <w:t xml:space="preserve">2. Develop rules for accountability</w:t>
      </w:r>
    </w:p>
    <w:p>
      <w:pPr>
        <w:spacing w:after="120"/>
      </w:pPr>
      <w:r>
        <w:t xml:space="preserve">Detecting AI-written text is an arms race that can't be won. The article argued for transparency instead: papers should state clearly whether and how AI was used - which models, and to what extent. And AI systems should not be authors, because they cannot be held accountable.</w:t>
      </w:r>
    </w:p>
    <w:p>
      <w:pPr>
        <w:spacing w:after="60" w:before="140"/>
      </w:pPr>
      <w:r>
        <w:rPr>
          <w:b/>
          <w:bCs/>
          <w:color w:val="1A1A1A"/>
        </w:rPr>
        <w:t xml:space="preserve">3. Invest in truly open LLMs</w:t>
      </w:r>
    </w:p>
    <w:p>
      <w:pPr>
        <w:spacing w:after="120"/>
      </w:pPr>
      <w:r>
        <w:t xml:space="preserve">The most capable models are proprietary, and their training data is opaque - the authors note ChatGPT could say nothing about several renowned scientists with h-indices above 80. Their fix: real investment in open, non-profit AI, pointing to the BigScience collaboration's BLOOM model as proof it can be done.</w:t>
      </w:r>
    </w:p>
    <w:p>
      <w:pPr>
        <w:spacing w:after="60" w:before="140"/>
      </w:pPr>
      <w:r>
        <w:rPr>
          <w:b/>
          <w:bCs/>
          <w:color w:val="1A1A1A"/>
        </w:rPr>
        <w:t xml:space="preserve">4. Embrace the benefits</w:t>
      </w:r>
    </w:p>
    <w:p>
      <w:pPr>
        <w:spacing w:after="120"/>
      </w:pPr>
      <w:r>
        <w:t xml:space="preserve">This wasn't doom-mongering. AI could accelerate innovation, free researchers for new experimental designs, and - through "intelligent partnerships" between people and machines - outperform what either does alone. The task is deciding which human skills stay essential.</w:t>
      </w:r>
    </w:p>
    <w:p>
      <w:pPr>
        <w:spacing w:after="60" w:before="140"/>
      </w:pPr>
      <w:r>
        <w:rPr>
          <w:b/>
          <w:bCs/>
          <w:color w:val="1A1A1A"/>
        </w:rPr>
        <w:t xml:space="preserve">5. Widen the debate</w:t>
      </w:r>
    </w:p>
    <w:p>
      <w:pPr>
        <w:spacing w:after="120"/>
      </w:pPr>
      <w:r>
        <w:t xml:space="preserve">Their final ask: every research group should try ChatGPT for themselves and talk about it, and an international forum should keep the conversation going - scientists, tech companies, funders, publishers and the public.</w:t>
      </w:r>
    </w:p>
    <w:p>
      <w:pPr>
        <w:spacing w:after="60" w:before="140"/>
      </w:pPr>
      <w:r>
        <w:rPr>
          <w:b/>
          <w:bCs/>
          <w:color w:val="1A1A1A"/>
        </w:rPr>
        <w:t xml:space="preserve">Where that led</w:t>
      </w:r>
    </w:p>
    <w:p>
      <w:pPr>
        <w:spacing w:after="120"/>
      </w:pPr>
      <w:r>
        <w:t xml:space="preserve">Those five priorities grew into the living guidelines - updated as the technology changes - and the approach is now official European guidance, in its third edition. The rules for AI in science didn't come out of nowhere: they started with a handful of scientists insisting, in early 2023, that humans stay in charge.</w:t>
      </w:r>
    </w:p>
    <w:p>
      <w:pPr>
        <w:spacing w:after="60" w:before="140"/>
      </w:pPr>
      <w:r>
        <w:rPr>
          <w:b/>
          <w:bCs/>
          <w:color w:val="1A1A1A"/>
        </w:rPr>
        <w:t xml:space="preserve">Same experts, same spirit</w:t>
      </w:r>
    </w:p>
    <w:p>
      <w:pPr>
        <w:spacing w:after="120"/>
      </w:pPr>
      <w:r>
        <w:t xml:space="preserve">This site comes from the same team - and the same conviction that oversight of AI is a public-interest question on both fronts: how scientists use AI, and how AI affects people. If a conversation with an AI tool left you feeling worse, report it (/report) - that's the people-facing side of the same concern.</w:t>
      </w:r>
    </w:p>
    <w:p>
      <w:pPr>
        <w:spacing w:after="60" w:before="140"/>
      </w:pPr>
      <w:r>
        <w:rPr>
          <w:b/>
          <w:bCs/>
          <w:color w:val="1A1A1A"/>
        </w:rPr>
        <w:t xml:space="preserve">Sources</w:t>
      </w:r>
    </w:p>
    <w:p>
      <w:pPr>
        <w:pStyle w:val="ListParagraph"/>
        <w:numPr>
          <w:ilvl w:val="0"/>
          <w:numId w:val="2"/>
        </w:numPr>
        <w:spacing w:after="60"/>
      </w:pPr>
      <w:r>
        <w:t xml:space="preserve">van Dis, Bollen, Zuidema, van Rooij &amp; Bockting - ChatGPT: five priorities for research, Nature 614, 224–226 (2023).</w:t>
      </w:r>
    </w:p>
    <w:p>
      <w:pPr>
        <w:pStyle w:val="Heading1"/>
        <w:spacing w:after="140" w:before="360"/>
      </w:pPr>
      <w:r>
        <w:rPr>
          <w:color w:val="1F6F6B"/>
        </w:rPr>
        <w:t xml:space="preserve">10. Crisis routing &amp; helplines</w:t>
      </w:r>
    </w:p>
    <w:p>
      <w:pPr>
        <w:pStyle w:val="Heading3"/>
        <w:spacing w:after="80" w:before="180"/>
      </w:pPr>
      <w:r>
        <w:rPr>
          <w:color w:val="1A1A1A"/>
        </w:rPr>
        <w:t xml:space="preserve">Dynamic crisis notice (footer &amp; report page)</w:t>
      </w:r>
    </w:p>
    <w:p>
      <w:pPr>
        <w:spacing w:after="120"/>
      </w:pPr>
      <w:r>
        <w:t xml:space="preserve">Not a crisis service. If you or someone else is in immediate danger, contact your local emergency number [(local number)]. In [Country], [Helpline name] ([phone]) offers free, confidential crisis support. See all helplines →</w:t>
      </w:r>
    </w:p>
    <w:p>
      <w:pPr>
        <w:spacing w:after="120"/>
      </w:pPr>
      <w:r>
        <w:rPr>
          <w:i/>
          <w:iCs/>
          <w:color w:val="555555"/>
          <w:sz w:val="19"/>
          <w:szCs w:val="19"/>
        </w:rPr>
        <w:t xml:space="preserve">The country and helpline are auto-detected by location and switchable via a dropdown (“Search country…”, “No match”, “Country detected automatically.”). Default country: Netherlands — 113 Zelfmoordpreventie (113 or 0800-0113).</w:t>
      </w:r>
    </w:p>
    <w:p>
      <w:pPr>
        <w:pStyle w:val="Heading2"/>
        <w:spacing w:after="100" w:before="260"/>
      </w:pPr>
      <w:r>
        <w:rPr>
          <w:color w:val="1A1A1A"/>
        </w:rPr>
        <w:t xml:space="preserve">Helplines page</w:t>
      </w:r>
    </w:p>
    <w:p>
      <w:pPr>
        <w:spacing w:after="40"/>
      </w:pPr>
      <w:r>
        <w:rPr>
          <w:b/>
          <w:bCs/>
          <w:color w:val="1F6F6B"/>
          <w:spacing w:val="30"/>
          <w:sz w:val="16"/>
          <w:szCs w:val="16"/>
        </w:rPr>
        <w:t xml:space="preserve">RESOURCES</w:t>
      </w:r>
    </w:p>
    <w:p>
      <w:pPr>
        <w:spacing w:after="120"/>
      </w:pPr>
      <w:r>
        <w:rPr>
          <w:b/>
          <w:bCs/>
        </w:rPr>
        <w:t xml:space="preserve">Crisis helplines &amp; resources</w:t>
      </w:r>
    </w:p>
    <w:p>
      <w:pPr>
        <w:spacing w:after="120"/>
      </w:pPr>
      <w:r>
        <w:t xml:space="preserve">If you or someone you know is in crisis, free and confidential help is available. The directories below cover verified helplines in most countries worldwide.</w:t>
      </w:r>
    </w:p>
    <w:p>
      <w:pPr>
        <w:pStyle w:val="Heading3"/>
        <w:spacing w:after="80" w:before="180"/>
      </w:pPr>
      <w:r>
        <w:rPr>
          <w:color w:val="1A1A1A"/>
        </w:rPr>
        <w:t xml:space="preserve">Emergency notice</w:t>
      </w:r>
    </w:p>
    <w:p>
      <w:pPr>
        <w:spacing w:after="120"/>
      </w:pPr>
      <w:r>
        <w:t xml:space="preserve">In immediate danger? Call your local emergency number. For country-specific crisis helplines, we recommend findahelpline.com - it detects your location and shows verified services instantly.</w:t>
      </w:r>
    </w:p>
    <w:p>
      <w:pPr>
        <w:pStyle w:val="Heading3"/>
        <w:spacing w:after="80" w:before="180"/>
      </w:pPr>
      <w:r>
        <w:rPr>
          <w:color w:val="1A1A1A"/>
        </w:rPr>
        <w:t xml:space="preserve">Verified directories (intro)</w:t>
      </w:r>
    </w:p>
    <w:p>
      <w:pPr>
        <w:spacing w:after="120"/>
      </w:pPr>
      <w:r>
        <w:t xml:space="preserve">The following resources maintain up-to-date lists of crisis helplines. We link to them rather than duplicating their data, so you always see the most current information. Our on-site helpline selector (shown on the report page) draws from these same sources but covers a smaller set of countries - use the directories below for the most complete coverage.</w:t>
      </w:r>
    </w:p>
    <w:p>
      <w:pPr>
        <w:pStyle w:val="Heading3"/>
        <w:spacing w:after="80" w:before="180"/>
      </w:pPr>
      <w:r>
        <w:rPr>
          <w:color w:val="1A1A1A"/>
        </w:rPr>
        <w:t xml:space="preserve">Find a Helpline</w:t>
      </w:r>
    </w:p>
    <w:p>
      <w:pPr>
        <w:spacing w:after="120"/>
      </w:pPr>
      <w:r>
        <w:t xml:space="preserve">Run by ThroughLine, this is the most comprehensive verified directory - covering 1,500+ helplines in 175+ countries across 21 topics and 15 specialties. Helpline organisations verify their own information directly.</w:t>
      </w:r>
    </w:p>
    <w:p>
      <w:pPr>
        <w:pStyle w:val="Heading3"/>
        <w:spacing w:after="80" w:before="180"/>
      </w:pPr>
      <w:r>
        <w:rPr>
          <w:color w:val="1A1A1A"/>
        </w:rPr>
        <w:t xml:space="preserve">Wikimedia Mental Health Resources</w:t>
      </w:r>
    </w:p>
    <w:p>
      <w:pPr>
        <w:spacing w:after="120"/>
      </w:pPr>
      <w:r>
        <w:t xml:space="preserve">Maintained by the Wikimedia Foundation's Trust &amp; Safety team. Community-maintained and reasonably broad, intended for anyone needing support during a personal crisis.</w:t>
      </w:r>
    </w:p>
    <w:p>
      <w:pPr>
        <w:pStyle w:val="Heading3"/>
        <w:spacing w:after="80" w:before="180"/>
      </w:pPr>
      <w:r>
        <w:rPr>
          <w:color w:val="1A1A1A"/>
        </w:rPr>
        <w:t xml:space="preserve">International Association for Suicide Prevention (IASP)</w:t>
      </w:r>
    </w:p>
    <w:p>
      <w:pPr>
        <w:spacing w:after="120"/>
      </w:pPr>
      <w:r>
        <w:t xml:space="preserve">Lists crisis centres and helplines across Africa, Asia, Europe, North America, Oceania, and South America. IASP is a WHO-affiliated body dedicated to suicide prevention.</w:t>
      </w:r>
    </w:p>
    <w:p>
      <w:pPr>
        <w:pStyle w:val="Heading3"/>
        <w:spacing w:after="80" w:before="180"/>
      </w:pPr>
      <w:r>
        <w:rPr>
          <w:color w:val="1A1A1A"/>
        </w:rPr>
        <w:t xml:space="preserve">HelpGuide - International Directory</w:t>
      </w:r>
    </w:p>
    <w:p>
      <w:pPr>
        <w:spacing w:after="120"/>
      </w:pPr>
      <w:r>
        <w:t xml:space="preserve">A curated international directory of crisis helplines, broken down by country. HelpGuide is a nonprofit mental-health resource.</w:t>
      </w:r>
    </w:p>
    <w:p>
      <w:pPr>
        <w:pStyle w:val="Heading3"/>
        <w:spacing w:after="80" w:before="180"/>
      </w:pPr>
      <w:r>
        <w:rPr>
          <w:color w:val="1A1A1A"/>
        </w:rPr>
        <w:t xml:space="preserve">TherapyRoute - Worldwide Crisis Lines</w:t>
      </w:r>
    </w:p>
    <w:p>
      <w:pPr>
        <w:spacing w:after="120"/>
      </w:pPr>
      <w:r>
        <w:t xml:space="preserve">Another worldwide directory of crisis and suicide-prevention helplines, organised by country.</w:t>
      </w:r>
    </w:p>
    <w:p>
      <w:pPr>
        <w:pStyle w:val="Heading3"/>
        <w:spacing w:after="80" w:before="180"/>
      </w:pPr>
      <w:r>
        <w:rPr>
          <w:color w:val="1A1A1A"/>
        </w:rPr>
        <w:t xml:space="preserve">A note on accuracy</w:t>
      </w:r>
    </w:p>
    <w:p>
      <w:pPr>
        <w:spacing w:after="120"/>
      </w:pPr>
      <w:r>
        <w:t xml:space="preserve">Crisis helplines change their phone numbers, hours, and web addresses from time to time. The on-site selector on our report page is a convenience feature - it is not a substitute for a verified, real-time directory. Find a Helpline (by ThroughLine) verifies its data directly with each helpline organisation and is the resource we recommend most highly for finding support.</w:t>
      </w:r>
    </w:p>
    <w:p>
      <w:pPr>
        <w:spacing w:after="120"/>
      </w:pPr>
      <w:r>
        <w:t xml:space="preserve">If you notice outdated or incorrect information on our site, please let us know so we can update it.</w:t>
      </w:r>
    </w:p>
    <w:p>
      <w:pPr>
        <w:spacing w:after="120"/>
      </w:pPr>
      <w:r>
        <w:rPr>
          <w:i/>
          <w:iCs/>
          <w:color w:val="555555"/>
          <w:sz w:val="19"/>
          <w:szCs w:val="19"/>
        </w:rPr>
        <w:t xml:space="preserve">A curated in-app dataset of ~65 country crisis lines (name, phone, website, emergency number) also backs the country selector; not reproduced here in full.</w:t>
      </w:r>
    </w:p>
    <w:p>
      <w:pPr>
        <w:pStyle w:val="Heading1"/>
        <w:spacing w:after="140" w:before="360"/>
      </w:pPr>
      <w:r>
        <w:rPr>
          <w:color w:val="1F6F6B"/>
        </w:rPr>
        <w:t xml:space="preserve">11. Legal pages</w:t>
      </w:r>
    </w:p>
    <w:p>
      <w:pPr>
        <w:spacing w:after="120"/>
      </w:pPr>
      <w:r>
        <w:rPr>
          <w:b/>
          <w:bCs/>
          <w:color w:val="B03030"/>
        </w:rPr>
        <w:t xml:space="preserve">IMPORTANT — DRAFT, NOT IN FORCE. </w:t>
      </w:r>
      <w:r>
        <w:rPr>
          <w:color w:val="555555"/>
        </w:rPr>
        <w:t xml:space="preserve">All three legal pages are gated behind a sign-off flag (legal.approved = false). While unapproved they show the draft banner below and are forced noindex. Every specific (retention, lawful basis, named processors) is a proposal for the DPO/legal owner to redline — not approved fact.</w:t>
      </w:r>
    </w:p>
    <w:p>
      <w:pPr>
        <w:pStyle w:val="Heading3"/>
        <w:spacing w:after="80" w:before="180"/>
      </w:pPr>
      <w:r>
        <w:rPr>
          <w:color w:val="1A1A1A"/>
        </w:rPr>
        <w:t xml:space="preserve">Draft banner (shown on all three while unapproved)</w:t>
      </w:r>
    </w:p>
    <w:p>
      <w:pPr>
        <w:spacing w:after="120"/>
      </w:pPr>
      <w:r>
        <w:rPr>
          <w:b/>
          <w:bCs/>
        </w:rPr>
        <w:t xml:space="preserve">Draft for review - not yet in force.</w:t>
      </w:r>
    </w:p>
    <w:p>
      <w:pPr>
        <w:spacing w:after="120"/>
      </w:pPr>
      <w:r>
        <w:t xml:space="preserve">This document has not been approved by our data protection officer or legal owner. Every specific below - retention periods, lawful bases, named processors - is a proposal for review, not an approved fact. Do not rely on it.</w:t>
      </w:r>
    </w:p>
    <w:p>
      <w:pPr>
        <w:pStyle w:val="Heading2"/>
        <w:spacing w:after="100" w:before="260"/>
      </w:pPr>
      <w:r>
        <w:rPr>
          <w:color w:val="1A1A1A"/>
        </w:rPr>
        <w:t xml:space="preserve">Privacy notice</w:t>
      </w:r>
    </w:p>
    <w:p>
      <w:pPr>
        <w:spacing w:after="40"/>
      </w:pPr>
      <w:r>
        <w:rPr>
          <w:b/>
          <w:bCs/>
          <w:color w:val="1F6F6B"/>
          <w:spacing w:val="30"/>
          <w:sz w:val="16"/>
          <w:szCs w:val="16"/>
        </w:rPr>
        <w:t xml:space="preserve">PRIVACY</w:t>
      </w:r>
    </w:p>
    <w:p>
      <w:pPr>
        <w:spacing w:after="120"/>
      </w:pPr>
      <w:r>
        <w:rPr>
          <w:b/>
          <w:bCs/>
        </w:rPr>
        <w:t xml:space="preserve">Privacy notice</w:t>
      </w:r>
    </w:p>
    <w:p>
      <w:pPr>
        <w:spacing w:after="120"/>
      </w:pPr>
      <w:r>
        <w:t xml:space="preserve">What we collect when you report, why we collect it, and what you can ask us to do with it.</w:t>
      </w:r>
    </w:p>
    <w:p>
      <w:pPr>
        <w:pStyle w:val="Heading3"/>
        <w:spacing w:after="80" w:before="180"/>
      </w:pPr>
      <w:r>
        <w:rPr>
          <w:color w:val="1A1A1A"/>
        </w:rPr>
        <w:t xml:space="preserve">Who is responsible</w:t>
      </w:r>
    </w:p>
    <w:p>
      <w:pPr>
        <w:spacing w:after="120"/>
      </w:pPr>
      <w:r>
        <w:t xml:space="preserve">[Controller] is the controller for the personal data described here. For anything in this notice, or to exercise the rights below, contact [privacy contact].</w:t>
      </w:r>
    </w:p>
    <w:p>
      <w:pPr>
        <w:pStyle w:val="Heading3"/>
        <w:spacing w:after="80" w:before="180"/>
      </w:pPr>
      <w:r>
        <w:rPr>
          <w:color w:val="1A1A1A"/>
        </w:rPr>
        <w:t xml:space="preserve">What we collect</w:t>
      </w:r>
    </w:p>
    <w:p>
      <w:pPr>
        <w:spacing w:after="120"/>
      </w:pPr>
      <w:r>
        <w:t xml:space="preserve">When you submit a report, we collect:</w:t>
      </w:r>
    </w:p>
    <w:p>
      <w:pPr>
        <w:pStyle w:val="ListParagraph"/>
        <w:numPr>
          <w:ilvl w:val="0"/>
          <w:numId w:val="2"/>
        </w:numPr>
        <w:spacing w:after="60"/>
      </w:pPr>
      <w:r>
        <w:t xml:space="preserve">what you tell us about how you felt, in your own words - this is the substance of the report;</w:t>
      </w:r>
    </w:p>
    <w:p>
      <w:pPr>
        <w:pStyle w:val="ListParagraph"/>
        <w:numPr>
          <w:ilvl w:val="0"/>
          <w:numId w:val="2"/>
        </w:numPr>
        <w:spacing w:after="60"/>
      </w:pPr>
      <w:r>
        <w:t xml:space="preserve">the tool, app, or platform involved, and roughly when it happened;</w:t>
      </w:r>
    </w:p>
    <w:p>
      <w:pPr>
        <w:pStyle w:val="ListParagraph"/>
        <w:numPr>
          <w:ilvl w:val="0"/>
          <w:numId w:val="2"/>
        </w:numPr>
        <w:spacing w:after="60"/>
      </w:pPr>
      <w:r>
        <w:t xml:space="preserve">any optional context you choose to add, such as your age band or whether you are reporting for yourself or someone you support;</w:t>
      </w:r>
    </w:p>
    <w:p>
      <w:pPr>
        <w:pStyle w:val="ListParagraph"/>
        <w:numPr>
          <w:ilvl w:val="0"/>
          <w:numId w:val="2"/>
        </w:numPr>
        <w:spacing w:after="60"/>
      </w:pPr>
      <w:r>
        <w:t xml:space="preserve">contact details, only if you choose to give them so we can ask follow-up questions.</w:t>
      </w:r>
    </w:p>
    <w:p>
      <w:pPr>
        <w:spacing w:after="120"/>
      </w:pPr>
      <w:r>
        <w:t xml:space="preserve">We do not ask for your name, and reporting does not require an account. Free-text answers are the point of this platform, so they may contain information about your health or state of mind. Under the GDPR that is special-category data (Art. 9), and it is treated as such throughout.</w:t>
      </w:r>
    </w:p>
    <w:p>
      <w:pPr>
        <w:pStyle w:val="Heading3"/>
        <w:spacing w:after="80" w:before="180"/>
      </w:pPr>
      <w:r>
        <w:rPr>
          <w:color w:val="1A1A1A"/>
        </w:rPr>
        <w:t xml:space="preserve">Why we collect it</w:t>
      </w:r>
    </w:p>
    <w:p>
      <w:pPr>
        <w:spacing w:after="120"/>
      </w:pPr>
      <w:r>
        <w:t xml:space="preserve">To monitor for patterns of harm associated with conversational AI tools and social media, and to study them. Reports are analysed in aggregate. An individual report is not assessed as a clinical case and does not produce advice, a diagnosis, or a response to you.</w:t>
      </w:r>
    </w:p>
    <w:p>
      <w:pPr>
        <w:pStyle w:val="Heading3"/>
        <w:spacing w:after="80" w:before="180"/>
      </w:pPr>
      <w:r>
        <w:rPr>
          <w:color w:val="1A1A1A"/>
        </w:rPr>
        <w:t xml:space="preserve">Our lawful basis</w:t>
      </w:r>
    </w:p>
    <w:p>
      <w:pPr>
        <w:spacing w:after="120"/>
      </w:pPr>
      <w:r>
        <w:t xml:space="preserve">We propose to process this data as a task carried out in the public interest (Art. 6(1)(e)), relying on the scientific-research condition in Art. 9(2)(j) for special-category data, subject to the safeguards in Art. 89(1) - including data minimisation and, wherever it does not defeat the research purpose, pseudonymisation.</w:t>
      </w:r>
    </w:p>
    <w:p>
      <w:pPr>
        <w:pStyle w:val="Heading3"/>
        <w:spacing w:after="80" w:before="180"/>
      </w:pPr>
      <w:r>
        <w:rPr>
          <w:color w:val="1A1A1A"/>
        </w:rPr>
        <w:t xml:space="preserve">Anonymity</w:t>
      </w:r>
    </w:p>
    <w:p>
      <w:pPr>
        <w:spacing w:after="120"/>
      </w:pPr>
      <w:r>
        <w:t xml:space="preserve">Reporting is anonymous by default. Because we do not know who you are, we generally cannot connect a later request to a specific report - see your rights for what that means in practice. If you include details that identify you inside a free-text answer, they are stored as part of the report.</w:t>
      </w:r>
    </w:p>
    <w:p>
      <w:pPr>
        <w:pStyle w:val="Heading3"/>
        <w:spacing w:after="80" w:before="180"/>
      </w:pPr>
      <w:r>
        <w:rPr>
          <w:color w:val="1A1A1A"/>
        </w:rPr>
        <w:t xml:space="preserve">Who else handles your data</w:t>
      </w:r>
    </w:p>
    <w:p>
      <w:pPr>
        <w:spacing w:after="120"/>
      </w:pPr>
      <w:r>
        <w:t xml:space="preserve">The report form is provided by Qualtrics, which stores responses on our behalf as a data processor under a written agreement. We do not sell your data, and we do not share it for advertising.</w:t>
      </w:r>
    </w:p>
    <w:p>
      <w:pPr>
        <w:pStyle w:val="Heading3"/>
        <w:spacing w:after="80" w:before="180"/>
      </w:pPr>
      <w:r>
        <w:rPr>
          <w:color w:val="1A1A1A"/>
        </w:rPr>
        <w:t xml:space="preserve">Where your data is stored</w:t>
      </w:r>
    </w:p>
    <w:p>
      <w:pPr>
        <w:spacing w:after="120"/>
      </w:pPr>
      <w:r>
        <w:t xml:space="preserve">We intend for report data to be stored within the European Economic Area. Where any processor or sub-processor transfers data outside the EEA, we will rely on an adequacy decision or Standard Contractual Clauses, and will name those transfers here.</w:t>
      </w:r>
    </w:p>
    <w:p>
      <w:pPr>
        <w:pStyle w:val="Heading3"/>
        <w:spacing w:after="80" w:before="180"/>
      </w:pPr>
      <w:r>
        <w:rPr>
          <w:color w:val="1A1A1A"/>
        </w:rPr>
        <w:t xml:space="preserve">How long we keep reports</w:t>
      </w:r>
    </w:p>
    <w:p>
      <w:pPr>
        <w:spacing w:after="120"/>
      </w:pPr>
      <w:r>
        <w:t xml:space="preserve">We propose to retain reports for five years from submission, after which they are deleted or fully anonymised. Aggregated results that cannot identify anyone may be kept indefinitely, including after publication.</w:t>
      </w:r>
    </w:p>
    <w:p>
      <w:pPr>
        <w:pStyle w:val="Heading3"/>
        <w:spacing w:after="80" w:before="180"/>
      </w:pPr>
      <w:r>
        <w:rPr>
          <w:color w:val="1A1A1A"/>
        </w:rPr>
        <w:t xml:space="preserve">Your rights</w:t>
      </w:r>
    </w:p>
    <w:p>
      <w:pPr>
        <w:spacing w:after="120"/>
      </w:pPr>
      <w:r>
        <w:t xml:space="preserve">Under the GDPR you can ask us to:</w:t>
      </w:r>
    </w:p>
    <w:p>
      <w:pPr>
        <w:pStyle w:val="ListParagraph"/>
        <w:numPr>
          <w:ilvl w:val="0"/>
          <w:numId w:val="2"/>
        </w:numPr>
        <w:spacing w:after="60"/>
      </w:pPr>
      <w:r>
        <w:t xml:space="preserve">confirm what personal data we hold about you, and give you a copy;</w:t>
      </w:r>
    </w:p>
    <w:p>
      <w:pPr>
        <w:pStyle w:val="ListParagraph"/>
        <w:numPr>
          <w:ilvl w:val="0"/>
          <w:numId w:val="2"/>
        </w:numPr>
        <w:spacing w:after="60"/>
      </w:pPr>
      <w:r>
        <w:t xml:space="preserve">correct it if it is wrong;</w:t>
      </w:r>
    </w:p>
    <w:p>
      <w:pPr>
        <w:pStyle w:val="ListParagraph"/>
        <w:numPr>
          <w:ilvl w:val="0"/>
          <w:numId w:val="2"/>
        </w:numPr>
        <w:spacing w:after="60"/>
      </w:pPr>
      <w:r>
        <w:t xml:space="preserve">erase it;</w:t>
      </w:r>
    </w:p>
    <w:p>
      <w:pPr>
        <w:pStyle w:val="ListParagraph"/>
        <w:numPr>
          <w:ilvl w:val="0"/>
          <w:numId w:val="2"/>
        </w:numPr>
        <w:spacing w:after="60"/>
      </w:pPr>
      <w:r>
        <w:t xml:space="preserve">restrict or object to how we use it;</w:t>
      </w:r>
    </w:p>
    <w:p>
      <w:pPr>
        <w:pStyle w:val="ListParagraph"/>
        <w:numPr>
          <w:ilvl w:val="0"/>
          <w:numId w:val="2"/>
        </w:numPr>
        <w:spacing w:after="60"/>
      </w:pPr>
      <w:r>
        <w:t xml:space="preserve">provide it in a portable form, where that right applies.</w:t>
      </w:r>
    </w:p>
    <w:p>
      <w:pPr>
        <w:spacing w:after="120"/>
      </w:pPr>
      <w:r>
        <w:t xml:space="preserve">Because reports are anonymous by default, we usually cannot identify which report is yours, and Art. 11 means we are not required to acquire more information purely to find it. If you want to be able to withdraw a report later, include contact details when you submit — otherwise we will likely be unable to act on a request about it.</w:t>
      </w:r>
    </w:p>
    <w:p>
      <w:pPr>
        <w:spacing w:after="120"/>
      </w:pPr>
      <w:r>
        <w:t xml:space="preserve">To make a request, contact [privacy contact].</w:t>
      </w:r>
    </w:p>
    <w:p>
      <w:pPr>
        <w:pStyle w:val="Heading3"/>
        <w:spacing w:after="80" w:before="180"/>
      </w:pPr>
      <w:r>
        <w:rPr>
          <w:color w:val="1A1A1A"/>
        </w:rPr>
        <w:t xml:space="preserve">Automated decisions</w:t>
      </w:r>
    </w:p>
    <w:p>
      <w:pPr>
        <w:spacing w:after="120"/>
      </w:pPr>
      <w:r>
        <w:t xml:space="preserve">We do not make automated decisions about you that produce legal or similarly significant effects, and we do not profile you for advertising.</w:t>
      </w:r>
    </w:p>
    <w:p>
      <w:pPr>
        <w:pStyle w:val="Heading3"/>
        <w:spacing w:after="80" w:before="180"/>
      </w:pPr>
      <w:r>
        <w:rPr>
          <w:color w:val="1A1A1A"/>
        </w:rPr>
        <w:t xml:space="preserve">Children</w:t>
      </w:r>
    </w:p>
    <w:p>
      <w:pPr>
        <w:spacing w:after="120"/>
      </w:pPr>
      <w:r>
        <w:t xml:space="preserve">This platform is expected to be used by people under 18. Our policy on a minimum age, on how age is established, and on parental consent where it is required is being finalised with our data protection officer, and this section will be replaced when it is.</w:t>
      </w:r>
    </w:p>
    <w:p>
      <w:pPr>
        <w:pStyle w:val="Heading3"/>
        <w:spacing w:after="80" w:before="180"/>
      </w:pPr>
      <w:r>
        <w:rPr>
          <w:color w:val="1A1A1A"/>
        </w:rPr>
        <w:t xml:space="preserve">Complaints</w:t>
      </w:r>
    </w:p>
    <w:p>
      <w:pPr>
        <w:spacing w:after="120"/>
      </w:pPr>
      <w:r>
        <w:t xml:space="preserve">If you are unhappy with how we handle your data, please tell us first at [privacy contact]. You also have the right to complain to your national supervisory authority - in the Netherlands, the Autoriteit Persoonsgegevens.</w:t>
      </w:r>
    </w:p>
    <w:p>
      <w:pPr>
        <w:pStyle w:val="Heading3"/>
        <w:spacing w:after="80" w:before="180"/>
      </w:pPr>
      <w:r>
        <w:rPr>
          <w:color w:val="1A1A1A"/>
        </w:rPr>
        <w:t xml:space="preserve">Changes</w:t>
      </w:r>
    </w:p>
    <w:p>
      <w:pPr>
        <w:spacing w:after="120"/>
      </w:pPr>
      <w:r>
        <w:t xml:space="preserve">If this notice changes materially, we will update it here and revise the review date. See also our terms.</w:t>
      </w:r>
    </w:p>
    <w:p>
      <w:pPr>
        <w:pStyle w:val="Heading2"/>
        <w:spacing w:after="100" w:before="260"/>
      </w:pPr>
      <w:r>
        <w:rPr>
          <w:color w:val="1A1A1A"/>
        </w:rPr>
        <w:t xml:space="preserve">Terms &amp; disclaimer</w:t>
      </w:r>
    </w:p>
    <w:p>
      <w:pPr>
        <w:spacing w:after="40"/>
      </w:pPr>
      <w:r>
        <w:rPr>
          <w:b/>
          <w:bCs/>
          <w:color w:val="1F6F6B"/>
          <w:spacing w:val="30"/>
          <w:sz w:val="16"/>
          <w:szCs w:val="16"/>
        </w:rPr>
        <w:t xml:space="preserve">TERMS</w:t>
      </w:r>
    </w:p>
    <w:p>
      <w:pPr>
        <w:spacing w:after="120"/>
      </w:pPr>
      <w:r>
        <w:rPr>
          <w:b/>
          <w:bCs/>
        </w:rPr>
        <w:t xml:space="preserve">Terms &amp; disclaimer</w:t>
      </w:r>
    </w:p>
    <w:p>
      <w:pPr>
        <w:spacing w:after="120"/>
      </w:pPr>
      <w:r>
        <w:t xml:space="preserve">What this platform offers, what it does not, and the basis on which you use it.</w:t>
      </w:r>
    </w:p>
    <w:p>
      <w:pPr>
        <w:pStyle w:val="Heading3"/>
        <w:spacing w:after="80" w:before="180"/>
      </w:pPr>
      <w:r>
        <w:rPr>
          <w:color w:val="1A1A1A"/>
        </w:rPr>
        <w:t xml:space="preserve">Not a crisis or emergency service</w:t>
      </w:r>
    </w:p>
    <w:p>
      <w:pPr>
        <w:spacing w:after="120"/>
      </w:pPr>
      <w:r>
        <w:t xml:space="preserve">This is the most important term here. AISafetyWatch does not provide emergency help. Reports are not read in real time and nobody is monitoring them for signs that you are at risk. If you or someone else is in immediate danger, contact your local emergency number. In the Netherlands you can also reach 113 Zelfmoordpreventie (call 113 or 0800-0113).</w:t>
      </w:r>
    </w:p>
    <w:p>
      <w:pPr>
        <w:pStyle w:val="Heading3"/>
        <w:spacing w:after="80" w:before="180"/>
      </w:pPr>
      <w:r>
        <w:rPr>
          <w:color w:val="1A1A1A"/>
        </w:rPr>
        <w:t xml:space="preserve">Not medical advice</w:t>
      </w:r>
    </w:p>
    <w:p>
      <w:pPr>
        <w:spacing w:after="120"/>
      </w:pPr>
      <w:r>
        <w:t xml:space="preserve">Nothing on this site is medical, psychological, or legal advice, and submitting a report does not create a clinical relationship of any kind. Reports are analysed in aggregate for research; you will not receive an assessment of your own situation. If you need advice about your health, speak to a qualified professional.</w:t>
      </w:r>
    </w:p>
    <w:p>
      <w:pPr>
        <w:pStyle w:val="Heading3"/>
        <w:spacing w:after="80" w:before="180"/>
      </w:pPr>
      <w:r>
        <w:rPr>
          <w:color w:val="1A1A1A"/>
        </w:rPr>
        <w:t xml:space="preserve">What you submit</w:t>
      </w:r>
    </w:p>
    <w:p>
      <w:pPr>
        <w:spacing w:after="120"/>
      </w:pPr>
      <w:r>
        <w:t xml:space="preserve">By submitting a report, you confirm that:</w:t>
      </w:r>
    </w:p>
    <w:p>
      <w:pPr>
        <w:pStyle w:val="ListParagraph"/>
        <w:numPr>
          <w:ilvl w:val="0"/>
          <w:numId w:val="2"/>
        </w:numPr>
        <w:spacing w:after="60"/>
      </w:pPr>
      <w:r>
        <w:t xml:space="preserve">what you describe is your own account, given in good faith;</w:t>
      </w:r>
    </w:p>
    <w:p>
      <w:pPr>
        <w:pStyle w:val="ListParagraph"/>
        <w:numPr>
          <w:ilvl w:val="0"/>
          <w:numId w:val="2"/>
        </w:numPr>
        <w:spacing w:after="60"/>
      </w:pPr>
      <w:r>
        <w:t xml:space="preserve">you are not submitting anyone else's identifying details unnecessarily - describe what happened without naming other people where you can;</w:t>
      </w:r>
    </w:p>
    <w:p>
      <w:pPr>
        <w:pStyle w:val="ListParagraph"/>
        <w:numPr>
          <w:ilvl w:val="0"/>
          <w:numId w:val="2"/>
        </w:numPr>
        <w:spacing w:after="60"/>
      </w:pPr>
      <w:r>
        <w:t xml:space="preserve">you understand reporting is anonymous by default and that we therefore may not be able to find or withdraw your report later (see the privacy notice).</w:t>
      </w:r>
    </w:p>
    <w:p>
      <w:pPr>
        <w:pStyle w:val="Heading3"/>
        <w:spacing w:after="80" w:before="180"/>
      </w:pPr>
      <w:r>
        <w:rPr>
          <w:color w:val="1A1A1A"/>
        </w:rPr>
        <w:t xml:space="preserve">Reports that name companies or individuals</w:t>
      </w:r>
    </w:p>
    <w:p>
      <w:pPr>
        <w:spacing w:after="120"/>
      </w:pPr>
      <w:r>
        <w:t xml:space="preserve">Reports may name products, companies, or people. We do not pass your report to the company involved, and we do not publish reports as submitted. Our policy for handling reports that identify third parties - including how they are moderated and how long they are kept - is being finalised, and this section will be replaced when it is.</w:t>
      </w:r>
    </w:p>
    <w:p>
      <w:pPr>
        <w:pStyle w:val="Heading3"/>
        <w:spacing w:after="80" w:before="180"/>
      </w:pPr>
      <w:r>
        <w:rPr>
          <w:color w:val="1A1A1A"/>
        </w:rPr>
        <w:t xml:space="preserve">Availability</w:t>
      </w:r>
    </w:p>
    <w:p>
      <w:pPr>
        <w:spacing w:after="120"/>
      </w:pPr>
      <w:r>
        <w:t xml:space="preserve">The platform is offered as it is. We do not guarantee that it will be available without interruption, and we may change or withdraw it.</w:t>
      </w:r>
    </w:p>
    <w:p>
      <w:pPr>
        <w:pStyle w:val="Heading3"/>
        <w:spacing w:after="80" w:before="180"/>
      </w:pPr>
      <w:r>
        <w:rPr>
          <w:color w:val="1A1A1A"/>
        </w:rPr>
        <w:t xml:space="preserve">Liability</w:t>
      </w:r>
    </w:p>
    <w:p>
      <w:pPr>
        <w:spacing w:after="120"/>
      </w:pPr>
      <w:r>
        <w:t xml:space="preserve">Nothing in these terms excludes liability where it cannot lawfully be excluded. The scope of any other limitation is being finalised with our legal owner.</w:t>
      </w:r>
    </w:p>
    <w:p>
      <w:pPr>
        <w:pStyle w:val="Heading3"/>
        <w:spacing w:after="80" w:before="180"/>
      </w:pPr>
      <w:r>
        <w:rPr>
          <w:color w:val="1A1A1A"/>
        </w:rPr>
        <w:t xml:space="preserve">Governing law</w:t>
      </w:r>
    </w:p>
    <w:p>
      <w:pPr>
        <w:spacing w:after="120"/>
      </w:pPr>
      <w:r>
        <w:t xml:space="preserve">We propose that these terms are governed by Dutch law, subject to confirmation once the operating entity is registered.</w:t>
      </w:r>
    </w:p>
    <w:p>
      <w:pPr>
        <w:pStyle w:val="Heading3"/>
        <w:spacing w:after="80" w:before="180"/>
      </w:pPr>
      <w:r>
        <w:rPr>
          <w:color w:val="1A1A1A"/>
        </w:rPr>
        <w:t xml:space="preserve">Changes</w:t>
      </w:r>
    </w:p>
    <w:p>
      <w:pPr>
        <w:spacing w:after="120"/>
      </w:pPr>
      <w:r>
        <w:t xml:space="preserve">If these terms change materially, we will update them here and revise the review date.</w:t>
      </w:r>
    </w:p>
    <w:p>
      <w:pPr>
        <w:pStyle w:val="Heading2"/>
        <w:spacing w:after="100" w:before="260"/>
      </w:pPr>
      <w:r>
        <w:rPr>
          <w:color w:val="1A1A1A"/>
        </w:rPr>
        <w:t xml:space="preserve">Accessibility statement</w:t>
      </w:r>
    </w:p>
    <w:p>
      <w:pPr>
        <w:spacing w:after="40"/>
      </w:pPr>
      <w:r>
        <w:rPr>
          <w:b/>
          <w:bCs/>
          <w:color w:val="1F6F6B"/>
          <w:spacing w:val="30"/>
          <w:sz w:val="16"/>
          <w:szCs w:val="16"/>
        </w:rPr>
        <w:t xml:space="preserve">ACCESSIBILITY</w:t>
      </w:r>
    </w:p>
    <w:p>
      <w:pPr>
        <w:spacing w:after="120"/>
      </w:pPr>
      <w:r>
        <w:rPr>
          <w:b/>
          <w:bCs/>
        </w:rPr>
        <w:t xml:space="preserve">Accessibility statement</w:t>
      </w:r>
    </w:p>
    <w:p>
      <w:pPr>
        <w:spacing w:after="120"/>
      </w:pPr>
      <w:r>
        <w:t xml:space="preserve">We want anyone to be able to report, whatever they use to browse. Here is where we stand and what we know is not yet good enough.</w:t>
      </w:r>
    </w:p>
    <w:p>
      <w:pPr>
        <w:pStyle w:val="Heading3"/>
        <w:spacing w:after="80" w:before="180"/>
      </w:pPr>
      <w:r>
        <w:rPr>
          <w:color w:val="1A1A1A"/>
        </w:rPr>
        <w:t xml:space="preserve">The standard we aim for</w:t>
      </w:r>
    </w:p>
    <w:p>
      <w:pPr>
        <w:spacing w:after="120"/>
      </w:pPr>
      <w:r>
        <w:t xml:space="preserve">We aim to meet WCAG 2.2 level AA. The site has been built against that target: it is keyboard navigable throughout, uses visible focus indicators, respects reduced-motion preferences, and its text and interface colours were chosen to meet AA contrast ratios.</w:t>
      </w:r>
    </w:p>
    <w:p>
      <w:pPr>
        <w:pStyle w:val="Heading3"/>
        <w:spacing w:after="80" w:before="180"/>
      </w:pPr>
      <w:r>
        <w:rPr>
          <w:color w:val="1A1A1A"/>
        </w:rPr>
        <w:t xml:space="preserve">Current status</w:t>
      </w:r>
    </w:p>
    <w:p>
      <w:pPr>
        <w:spacing w:after="120"/>
      </w:pPr>
      <w:r>
        <w:t xml:space="preserve">This statement has not yet been backed by a formal accessibility audit. We have not completed an independent assessment or testing with people who use assistive technology, so we do not claim conformance — only that AA is what we are building to. That assessment is planned, and this section will be replaced by its result.</w:t>
      </w:r>
    </w:p>
    <w:p>
      <w:pPr>
        <w:pStyle w:val="Heading3"/>
        <w:spacing w:after="80" w:before="180"/>
      </w:pPr>
      <w:r>
        <w:rPr>
          <w:color w:val="1A1A1A"/>
        </w:rPr>
        <w:t xml:space="preserve">Known limitations</w:t>
      </w:r>
    </w:p>
    <w:p>
      <w:pPr>
        <w:spacing w:after="120"/>
      </w:pPr>
      <w:r>
        <w:t xml:space="preserve">We are aware of the following:</w:t>
      </w:r>
    </w:p>
    <w:p>
      <w:pPr>
        <w:pStyle w:val="ListParagraph"/>
        <w:numPr>
          <w:ilvl w:val="0"/>
          <w:numId w:val="2"/>
        </w:numPr>
        <w:spacing w:after="60"/>
      </w:pPr>
      <w:r>
        <w:t xml:space="preserve">The report form. The form itself is provided and rendered by a third party (Qualtrics) inside an embedded frame. Its accessibility is largely outside our control and has not been audited by us. If the embedded form is unusable for you, the report page offers a link to open it in a full browser tab, which some people find works better.</w:t>
      </w:r>
    </w:p>
    <w:p>
      <w:pPr>
        <w:pStyle w:val="ListParagraph"/>
        <w:numPr>
          <w:ilvl w:val="0"/>
          <w:numId w:val="2"/>
        </w:numPr>
        <w:spacing w:after="60"/>
      </w:pPr>
      <w:r>
        <w:t xml:space="preserve">No audit result. As above - until an assessment is done, there may be barriers we simply do not know about yet.</w:t>
      </w:r>
    </w:p>
    <w:p>
      <w:pPr>
        <w:pStyle w:val="Heading3"/>
        <w:spacing w:after="80" w:before="180"/>
      </w:pPr>
      <w:r>
        <w:rPr>
          <w:color w:val="1A1A1A"/>
        </w:rPr>
        <w:t xml:space="preserve">If something blocks you</w:t>
      </w:r>
    </w:p>
    <w:p>
      <w:pPr>
        <w:spacing w:after="120"/>
      </w:pPr>
      <w:r>
        <w:t xml:space="preserve">Please tell us - a specific report of what failed is the fastest route to fixing it. Email [contact] and, if you can, say what page you were on, what you were trying to do, and what you use to browse.</w:t>
      </w:r>
    </w:p>
    <w:p>
      <w:pPr>
        <w:spacing w:after="120"/>
      </w:pPr>
      <w:r>
        <w:t xml:space="preserve">If you are not satisfied with how we respond, you can raise it with your national supervisory body for digital accessibility.</w:t>
      </w:r>
    </w:p>
    <w:p>
      <w:pPr>
        <w:pStyle w:val="Heading1"/>
        <w:spacing w:after="140" w:before="360"/>
      </w:pPr>
      <w:r>
        <w:rPr>
          <w:color w:val="1F6F6B"/>
        </w:rPr>
        <w:t xml:space="preserve">12. Contact page</w:t>
      </w:r>
    </w:p>
    <w:p>
      <w:pPr>
        <w:spacing w:after="40"/>
      </w:pPr>
      <w:r>
        <w:rPr>
          <w:b/>
          <w:bCs/>
          <w:color w:val="1F6F6B"/>
          <w:spacing w:val="30"/>
          <w:sz w:val="16"/>
          <w:szCs w:val="16"/>
        </w:rPr>
        <w:t xml:space="preserve">CONTACT</w:t>
      </w:r>
    </w:p>
    <w:p>
      <w:pPr>
        <w:spacing w:after="120"/>
      </w:pPr>
      <w:r>
        <w:rPr>
          <w:b/>
          <w:bCs/>
        </w:rPr>
        <w:t xml:space="preserve">Get in touch</w:t>
      </w:r>
    </w:p>
    <w:p>
      <w:pPr>
        <w:spacing w:after="120"/>
      </w:pPr>
      <w:r>
        <w:t xml:space="preserve">For questions about the platform, the research, or your data. Please don't use these routes for anything urgent.</w:t>
      </w:r>
    </w:p>
    <w:p>
      <w:pPr>
        <w:pStyle w:val="Heading3"/>
        <w:spacing w:after="80" w:before="180"/>
      </w:pPr>
      <w:r>
        <w:rPr>
          <w:color w:val="1A1A1A"/>
        </w:rPr>
        <w:t xml:space="preserve">Crisis note</w:t>
      </w:r>
    </w:p>
    <w:p>
      <w:pPr>
        <w:spacing w:after="120"/>
      </w:pPr>
      <w:r>
        <w:t xml:space="preserve">Not a crisis service. Nobody monitors these routes in real time. If you or someone else is in immediate danger, contact your local emergency number. In the Netherlands, 113 Zelfmoordpreventie (call 113 or 0800-0113) offers free, confidential support with suicidal thoughts or crisis.</w:t>
      </w:r>
    </w:p>
    <w:p>
      <w:pPr>
        <w:pStyle w:val="Heading3"/>
        <w:spacing w:after="80" w:before="180"/>
      </w:pPr>
      <w:r>
        <w:rPr>
          <w:color w:val="1A1A1A"/>
        </w:rPr>
        <w:t xml:space="preserve">General enquiries</w:t>
      </w:r>
    </w:p>
    <w:p>
      <w:pPr>
        <w:spacing w:after="120"/>
      </w:pPr>
      <w:r>
        <w:t xml:space="preserve">For questions about the platform or the research, email hello@weareaivi.com.</w:t>
      </w:r>
    </w:p>
    <w:p>
      <w:pPr>
        <w:pStyle w:val="Heading3"/>
        <w:spacing w:after="80" w:before="180"/>
      </w:pPr>
      <w:r>
        <w:rPr>
          <w:color w:val="1A1A1A"/>
        </w:rPr>
        <w:t xml:space="preserve">Your data</w:t>
      </w:r>
    </w:p>
    <w:p>
      <w:pPr>
        <w:spacing w:after="120"/>
      </w:pPr>
      <w:r>
        <w:t xml:space="preserve">To ask what we hold about you, to have it corrected or erased, or to object to how it is used, contact [DPO email, falls back to hello@weareaivi.com]. Reports are anonymous by default, so we may be unable to link a request to a specific submission - the privacy notice explains what that means for your rights.</w:t>
      </w:r>
    </w:p>
    <w:p>
      <w:pPr>
        <w:pStyle w:val="Heading3"/>
        <w:spacing w:after="80" w:before="180"/>
      </w:pPr>
      <w:r>
        <w:rPr>
          <w:color w:val="1A1A1A"/>
        </w:rPr>
        <w:t xml:space="preserve">Reporting an experience</w:t>
      </w:r>
    </w:p>
    <w:p>
      <w:pPr>
        <w:spacing w:after="120"/>
      </w:pPr>
      <w:r>
        <w:t xml:space="preserve">Please don't email reports - they can't be included in the analysis that way. Use the report form instead, which is anonymous and takes a few minutes.</w:t>
      </w:r>
    </w:p>
    <w:p>
      <w:pPr>
        <w:pStyle w:val="Heading1"/>
        <w:spacing w:after="140" w:before="360"/>
      </w:pPr>
      <w:r>
        <w:rPr>
          <w:color w:val="1F6F6B"/>
        </w:rPr>
        <w:t xml:space="preserve">13. Team &amp; governance (provenance)</w:t>
      </w:r>
    </w:p>
    <w:p>
      <w:pPr>
        <w:spacing w:after="120"/>
      </w:pPr>
      <w:r>
        <w:rPr>
          <w:i/>
          <w:iCs/>
          <w:color w:val="555555"/>
          <w:sz w:val="19"/>
          <w:szCs w:val="19"/>
        </w:rPr>
        <w:t xml:space="preserve">There is no standalone “Team” page. Team / institutional identity is carried by (a) the blog author byline and (b) the configurable research-provenance block, which renders on About, Contact, and the footer once filled in. All provenance fields are currently blank in config, so nothing appears yet.</w:t>
      </w:r>
    </w:p>
    <w:p>
      <w:pPr>
        <w:pStyle w:val="Heading3"/>
        <w:spacing w:after="80" w:before="180"/>
      </w:pPr>
      <w:r>
        <w:rPr>
          <w:color w:val="1A1A1A"/>
        </w:rPr>
        <w:t xml:space="preserve">Author byline (blog)</w:t>
      </w:r>
    </w:p>
    <w:p>
      <w:pPr>
        <w:spacing w:after="120"/>
      </w:pPr>
      <w:r>
        <w:t xml:space="preserve">AISafetyWatch team</w:t>
      </w:r>
    </w:p>
    <w:p>
      <w:pPr>
        <w:pStyle w:val="Heading3"/>
        <w:spacing w:after="80" w:before="180"/>
      </w:pPr>
      <w:r>
        <w:rPr>
          <w:color w:val="1A1A1A"/>
        </w:rPr>
        <w:t xml:space="preserve">Provenance block — field labels (rendered when set)</w:t>
      </w:r>
    </w:p>
    <w:p>
      <w:pPr>
        <w:pStyle w:val="ListParagraph"/>
        <w:numPr>
          <w:ilvl w:val="0"/>
          <w:numId w:val="2"/>
        </w:numPr>
        <w:spacing w:after="60"/>
      </w:pPr>
      <w:r>
        <w:t xml:space="preserve">Institution  — e.g. shown on /about and footer</w:t>
      </w:r>
    </w:p>
    <w:p>
      <w:pPr>
        <w:pStyle w:val="ListParagraph"/>
        <w:numPr>
          <w:ilvl w:val="0"/>
          <w:numId w:val="2"/>
        </w:numPr>
        <w:spacing w:after="60"/>
      </w:pPr>
      <w:r>
        <w:t xml:space="preserve">Department</w:t>
      </w:r>
    </w:p>
    <w:p>
      <w:pPr>
        <w:pStyle w:val="ListParagraph"/>
        <w:numPr>
          <w:ilvl w:val="0"/>
          <w:numId w:val="2"/>
        </w:numPr>
        <w:spacing w:after="60"/>
      </w:pPr>
      <w:r>
        <w:t xml:space="preserve">Responsible researcher  (principal investigator)</w:t>
      </w:r>
    </w:p>
    <w:p>
      <w:pPr>
        <w:pStyle w:val="ListParagraph"/>
        <w:numPr>
          <w:ilvl w:val="0"/>
          <w:numId w:val="2"/>
        </w:numPr>
        <w:spacing w:after="60"/>
      </w:pPr>
      <w:r>
        <w:t xml:space="preserve">Ethics approval  — reviewing committee + reference, e.g. “METC 2026.123”</w:t>
      </w:r>
    </w:p>
    <w:p>
      <w:pPr>
        <w:pStyle w:val="Heading3"/>
        <w:spacing w:after="80" w:before="180"/>
      </w:pPr>
      <w:r>
        <w:rPr>
          <w:color w:val="1A1A1A"/>
        </w:rPr>
        <w:t xml:space="preserve">Footer provenance sentence (when institution is set)</w:t>
      </w:r>
    </w:p>
    <w:p>
      <w:pPr>
        <w:spacing w:after="120"/>
      </w:pPr>
      <w:r>
        <w:t xml:space="preserve">A research instrument from [Department, Institution].</w:t>
      </w:r>
    </w:p>
    <w:p>
      <w:pPr>
        <w:pStyle w:val="Heading3"/>
        <w:spacing w:after="80" w:before="180"/>
      </w:pPr>
      <w:r>
        <w:rPr>
          <w:color w:val="1A1A1A"/>
        </w:rPr>
        <w:t xml:space="preserve">About-page governance intro (when set)</w:t>
      </w:r>
    </w:p>
    <w:p>
      <w:pPr>
        <w:spacing w:after="120"/>
      </w:pPr>
      <w:r>
        <w:t xml:space="preserve">This platform is operated as a research instrument, under the following accountability:</w:t>
      </w:r>
    </w:p>
    <w:p>
      <w:pPr>
        <w:pStyle w:val="Heading1"/>
        <w:spacing w:after="140" w:before="360"/>
      </w:pPr>
      <w:r>
        <w:rPr>
          <w:color w:val="1F6F6B"/>
        </w:rPr>
        <w:t xml:space="preserve">14. 404 / Not found</w:t>
      </w:r>
    </w:p>
    <w:p>
      <w:pPr>
        <w:spacing w:after="40"/>
      </w:pPr>
      <w:r>
        <w:rPr>
          <w:b/>
          <w:bCs/>
          <w:color w:val="1F6F6B"/>
          <w:spacing w:val="30"/>
          <w:sz w:val="16"/>
          <w:szCs w:val="16"/>
        </w:rPr>
        <w:t xml:space="preserve">404</w:t>
      </w:r>
    </w:p>
    <w:p>
      <w:pPr>
        <w:spacing w:after="120"/>
      </w:pPr>
      <w:r>
        <w:rPr>
          <w:b/>
          <w:bCs/>
        </w:rPr>
        <w:t xml:space="preserve">Page not found</w:t>
      </w:r>
    </w:p>
    <w:p>
      <w:pPr>
        <w:spacing w:after="120"/>
      </w:pPr>
      <w:r>
        <w:t xml:space="preserve">Sorry, we couldn’t find that page. Here are some places to go instead:</w:t>
      </w:r>
    </w:p>
    <w:p>
      <w:pPr>
        <w:pStyle w:val="ListParagraph"/>
        <w:numPr>
          <w:ilvl w:val="0"/>
          <w:numId w:val="2"/>
        </w:numPr>
        <w:spacing w:after="60"/>
      </w:pPr>
      <w:r>
        <w:t xml:space="preserve">Report your experience</w:t>
      </w:r>
    </w:p>
    <w:p>
      <w:pPr>
        <w:pStyle w:val="ListParagraph"/>
        <w:numPr>
          <w:ilvl w:val="0"/>
          <w:numId w:val="2"/>
        </w:numPr>
        <w:spacing w:after="60"/>
      </w:pPr>
      <w:r>
        <w:t xml:space="preserve">FAQ</w:t>
      </w:r>
    </w:p>
    <w:p>
      <w:pPr>
        <w:pStyle w:val="ListParagraph"/>
        <w:numPr>
          <w:ilvl w:val="0"/>
          <w:numId w:val="2"/>
        </w:numPr>
        <w:spacing w:after="60"/>
      </w:pPr>
      <w:r>
        <w:t xml:space="preserve">Home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pPr>
    <w:rPr>
      <w:rFonts w:ascii="Calibri" w:cs="Calibri" w:eastAsia="Calibri" w:hAnsi="Calibri"/>
      <w:b/>
      <w:bCs/>
      <w:color w:val="1F6F6B"/>
      <w:sz w:val="30"/>
      <w:szCs w:val="30"/>
    </w:rPr>
  </w:style>
  <w:style w:type="paragraph" w:styleId="Heading2">
    <w:name w:val="Heading 2"/>
    <w:basedOn w:val="Normal"/>
    <w:next w:val="Normal"/>
    <w:qFormat/>
    <w:pPr>
      <w:spacing w:after="100" w:before="260"/>
    </w:pPr>
    <w:rPr>
      <w:rFonts w:ascii="Calibri" w:cs="Calibri" w:eastAsia="Calibri" w:hAnsi="Calibri"/>
      <w:b/>
      <w:bCs/>
      <w:color w:val="1A1A1A"/>
      <w:sz w:val="25"/>
      <w:szCs w:val="25"/>
    </w:rPr>
  </w:style>
  <w:style w:type="paragraph" w:styleId="Heading3">
    <w:name w:val="Heading 3"/>
    <w:basedOn w:val="Normal"/>
    <w:next w:val="Normal"/>
    <w:qFormat/>
    <w:pPr>
      <w:spacing w:after="60" w:before="160"/>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AISafetyWatch — Website Copy Reference</dc:title>
  <dc:creator>AISafetyWatch</dc:creator>
  <cp:lastModifiedBy>Un-named</cp:lastModifiedBy>
  <cp:revision>1</cp:revision>
  <dcterms:created xsi:type="dcterms:W3CDTF">2026-09-03T15:42:22.059Z</dcterms:created>
  <dcterms:modified xsi:type="dcterms:W3CDTF">2026-09-03T15:42:22.060Z</dcterms:modified>
</cp:coreProperties>
</file>

<file path=docProps/custom.xml><?xml version="1.0" encoding="utf-8"?>
<Properties xmlns="http://schemas.openxmlformats.org/officeDocument/2006/custom-properties" xmlns:vt="http://schemas.openxmlformats.org/officeDocument/2006/docPropsVTypes"/>
</file>