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5: New Empirical Findings in HCI &amp; Algorithmic Behaviors (Phase 2.0)</w:t>
      </w:r>
    </w:p>
    <w:p>
      <w:r>
        <w:t>This report details the technical findings and human-computer interaction (HCI) observations discovered during the Phase 2.0 upgrades, including pilot testing of the Multi-Model Benchmarking, User Segmentation, and Interactive Counterfactual (What-If) Simulator.</w:t>
      </w:r>
    </w:p>
    <w:p>
      <w:pPr>
        <w:jc w:val="center"/>
      </w:pPr>
      <w:r>
        <w:rPr>
          <w:color w:val="B4B4B4"/>
        </w:rPr>
        <w:t>__________________________________________________</w:t>
      </w:r>
    </w:p>
    <w:p>
      <w:pPr>
        <w:pStyle w:val="Heading2"/>
      </w:pPr>
      <w:r>
        <w:t>1. Finding 1: Non-Monotonic AI Decision Boundaries in What-If Simulations</w:t>
      </w:r>
    </w:p>
    <w:p>
      <w:r>
        <w:t>When interacting with the What-If Simulator to modify client features in real-time, the research team identified a counter-intuitive behavior in the AI's predictions:</w:t>
      </w:r>
    </w:p>
    <w:p>
      <w:pPr>
        <w:pStyle w:val="ListBullet"/>
      </w:pPr>
      <w:r>
        <w:t xml:space="preserve">  </w:t>
      </w:r>
      <w:r>
        <w:rPr>
          <w:b/>
        </w:rPr>
        <w:t>Phenomenon</w:t>
      </w:r>
      <w:r>
        <w:t xml:space="preserve">: As FICO Credit Score is gradually increased from 600 to 850 (holding all other parameters constant), the AI prediction flips non-monotonically: </w:t>
      </w:r>
      <w:r>
        <w:rPr>
          <w:b/>
        </w:rPr>
        <w:t>APPROVE (at 600) $\rightarrow$ REJECT (at 680) $\rightarrow$ APPROVE (at 750)</w:t>
      </w:r>
      <w:r>
        <w:t>.</w:t>
      </w:r>
    </w:p>
    <w:p>
      <w:pPr>
        <w:pStyle w:val="ListBullet"/>
      </w:pPr>
      <w:r>
        <w:t xml:space="preserve">  </w:t>
      </w:r>
      <w:r>
        <w:rPr>
          <w:b/>
        </w:rPr>
        <w:t>Technical Explanation</w:t>
      </w:r>
      <w:r>
        <w:t>:</w:t>
      </w:r>
    </w:p>
    <w:p>
      <w:pPr>
        <w:pStyle w:val="ListBullet"/>
      </w:pPr>
      <w:r>
        <w:t xml:space="preserve">  Tree-based ensembles (such as Random Forest and XGBoost) partition the multi-dimensional feature space into axis-aligned hyper-rectangles using binary decision boundaries.</w:t>
      </w:r>
    </w:p>
    <w:p>
      <w:pPr>
        <w:pStyle w:val="ListBullet"/>
      </w:pPr>
      <w:r>
        <w:t xml:space="preserve">  The model does not intrinsically understand human logic (e.g., that higher credit scores or higher incomes should monotonically decrease credit risk).</w:t>
      </w:r>
    </w:p>
    <w:p>
      <w:pPr>
        <w:pStyle w:val="ListBullet"/>
      </w:pPr>
      <w:r>
        <w:t xml:space="preserve">  At a score of 680, the client falls into a specific partition combined with other factors (such as a high loan amount &gt; 450M VND) that had high default rates in the Kaggle training dataset, leading to a "Reject" decision. Meanwhile, at a score of 600, the client falls into a different tree branch that has more lenient default thresholds.</w:t>
      </w:r>
    </w:p>
    <w:p>
      <w:pPr>
        <w:pStyle w:val="ListBullet"/>
      </w:pPr>
      <w:r>
        <w:t xml:space="preserve">  </w:t>
      </w:r>
      <w:r>
        <w:rPr>
          <w:b/>
        </w:rPr>
        <w:t>Thesis &amp; Academic Implications</w:t>
      </w:r>
      <w:r>
        <w:t>:</w:t>
      </w:r>
    </w:p>
    <w:p>
      <w:pPr>
        <w:pStyle w:val="ListBullet"/>
      </w:pPr>
      <w:r>
        <w:t xml:space="preserve">  </w:t>
      </w:r>
      <w:r>
        <w:rPr>
          <w:b/>
        </w:rPr>
        <w:t>Value of the What-If Simulator</w:t>
      </w:r>
      <w:r>
        <w:t xml:space="preserve">: This phenomenon demonstrates the vital role of interactive XAI. Without a live What-If simulator, underwriters are susceptible to </w:t>
      </w:r>
      <w:r>
        <w:rPr>
          <w:b/>
        </w:rPr>
        <w:t>Automation Bias</w:t>
      </w:r>
      <w:r>
        <w:t>, blindly trusting the static recommendation without exposing the model's logical blindspots.</w:t>
      </w:r>
    </w:p>
    <w:p>
      <w:pPr>
        <w:pStyle w:val="ListBullet"/>
      </w:pPr>
      <w:r>
        <w:t xml:space="preserve">  </w:t>
      </w:r>
      <w:r>
        <w:rPr>
          <w:b/>
        </w:rPr>
        <w:t>Monotonic Constraints</w:t>
      </w:r>
      <w:r>
        <w:t>: The thesis proposes incorporating monotonic constraints (forcing the algorithm to enforce positive derivatives on indicators like Income and Credit Score) during training. This ensures the AI conforms to the strict model risk management standards of commercial banking.</w:t>
      </w:r>
    </w:p>
    <w:p>
      <w:pPr>
        <w:jc w:val="center"/>
      </w:pPr>
      <w:r>
        <w:rPr>
          <w:color w:val="B4B4B4"/>
        </w:rPr>
        <w:t>__________________________________________________</w:t>
      </w:r>
    </w:p>
    <w:p>
      <w:pPr>
        <w:pStyle w:val="Heading2"/>
      </w:pPr>
      <w:r>
        <w:t>2. Finding 2: Tech-Savviness, Skepticism, and AI Interaction Fluency</w:t>
      </w:r>
    </w:p>
    <w:p>
      <w:r>
        <w:t>Integrating user demographic segmentation (Major and AI Usage Frequency) on onboarding has revealed early behavioral trends:</w:t>
      </w:r>
    </w:p>
    <w:p>
      <w:pPr>
        <w:pStyle w:val="ListBullet"/>
      </w:pPr>
      <w:r>
        <w:t xml:space="preserve">  </w:t>
      </w:r>
      <w:r>
        <w:rPr>
          <w:b/>
        </w:rPr>
        <w:t>Tech-Savviness vs. Algorithm Skepticism</w:t>
      </w:r>
      <w:r>
        <w:t>:</w:t>
      </w:r>
    </w:p>
    <w:p>
      <w:pPr>
        <w:pStyle w:val="ListBullet"/>
      </w:pPr>
      <w:r>
        <w:t xml:space="preserve">  </w:t>
      </w:r>
      <w:r>
        <w:rPr>
          <w:b/>
        </w:rPr>
        <w:t>Computer Science / IT</w:t>
      </w:r>
      <w:r>
        <w:t xml:space="preserve"> majors interacted significantly more with the What-If panel and Gemini chatbot (generating 40% more hover and click events than average). They actively tested extreme feature combinations to stress-test the model.</w:t>
      </w:r>
    </w:p>
    <w:p>
      <w:pPr>
        <w:pStyle w:val="ListBullet"/>
      </w:pPr>
      <w:r>
        <w:t xml:space="preserve">  IT majors recorded a lower agreement rate with the AI, indicating that their technical understanding of ML black-boxes helps mitigate automation bias.</w:t>
      </w:r>
    </w:p>
    <w:p>
      <w:pPr>
        <w:pStyle w:val="ListBullet"/>
      </w:pPr>
      <w:r>
        <w:t xml:space="preserve">  </w:t>
      </w:r>
      <w:r>
        <w:rPr>
          <w:b/>
        </w:rPr>
        <w:t>AI Exposure and Information Processing Speed</w:t>
      </w:r>
      <w:r>
        <w:t>:</w:t>
      </w:r>
    </w:p>
    <w:p>
      <w:pPr>
        <w:pStyle w:val="ListBullet"/>
      </w:pPr>
      <w:r>
        <w:t xml:space="preserve">  Users who interact with AI tools </w:t>
      </w:r>
      <w:r>
        <w:rPr>
          <w:b/>
        </w:rPr>
        <w:t>Daily / Frequently</w:t>
      </w:r>
      <w:r>
        <w:t xml:space="preserve"> processed SHAP bar charts and force plots faster. Their average decision time in Group C was 15% shorter than participants with rare AI exposure, showing the emergence of "AI Interaction Fluency."</w:t>
      </w:r>
    </w:p>
    <w:p>
      <w:pPr>
        <w:jc w:val="center"/>
      </w:pPr>
      <w:r>
        <w:rPr>
          <w:color w:val="B4B4B4"/>
        </w:rPr>
        <w:t>__________________________________________________</w:t>
      </w:r>
    </w:p>
    <w:p>
      <w:pPr>
        <w:pStyle w:val="Heading2"/>
      </w:pPr>
      <w:r>
        <w:t>3. Finding 3: Split-Attention Effect &amp; Cognitive Overload</w:t>
      </w:r>
    </w:p>
    <w:p>
      <w:r>
        <w:t>Adding the What-If widget alongside SHAP Force Plots, Bar Charts, and Chatbots in the Group C dashboard yielded a major HCI insight:</w:t>
      </w:r>
    </w:p>
    <w:p>
      <w:pPr>
        <w:pStyle w:val="ListBullet"/>
      </w:pPr>
      <w:r>
        <w:t xml:space="preserve">  </w:t>
      </w:r>
      <w:r>
        <w:rPr>
          <w:b/>
        </w:rPr>
        <w:t>Phenomenon</w:t>
      </w:r>
      <w:r>
        <w:t xml:space="preserve">: The attention check pass rate in Group C dropped to </w:t>
      </w:r>
      <w:r>
        <w:rPr>
          <w:b/>
        </w:rPr>
        <w:t>50%</w:t>
      </w:r>
      <w:r>
        <w:t xml:space="preserve"> during pilot testing (compared to 70% in the Group A control group).</w:t>
      </w:r>
    </w:p>
    <w:p>
      <w:pPr>
        <w:pStyle w:val="ListBullet"/>
      </w:pPr>
      <w:r>
        <w:t xml:space="preserve">  </w:t>
      </w:r>
      <w:r>
        <w:rPr>
          <w:b/>
        </w:rPr>
        <w:t>HCI Analysis</w:t>
      </w:r>
      <w:r>
        <w:t>:</w:t>
      </w:r>
    </w:p>
    <w:p>
      <w:pPr>
        <w:pStyle w:val="ListBullet"/>
      </w:pPr>
      <w:r>
        <w:t xml:space="preserve">  This is a classic manifestation of the </w:t>
      </w:r>
      <w:r>
        <w:rPr>
          <w:b/>
        </w:rPr>
        <w:t>Split-Attention Effect</w:t>
      </w:r>
      <w:r>
        <w:t xml:space="preserve"> in Cognitive Load Theory.</w:t>
      </w:r>
    </w:p>
    <w:p>
      <w:pPr>
        <w:pStyle w:val="ListBullet"/>
      </w:pPr>
      <w:r>
        <w:t xml:space="preserve">  When an interface packs multiple advanced explanation features, the user's attention is fragmented across the dashboard. Underwriters must cross-reference original profiles, SHAP values, chatbot dialogs, and simulated sliders.</w:t>
      </w:r>
    </w:p>
    <w:p>
      <w:pPr>
        <w:pStyle w:val="ListBullet"/>
      </w:pPr>
      <w:r>
        <w:t xml:space="preserve">  This mental depletion causes cognitive fatigue, making users miss adversarial cases or intentional trap profiles.</w:t>
      </w:r>
    </w:p>
    <w:p>
      <w:pPr>
        <w:pStyle w:val="ListBullet"/>
      </w:pPr>
      <w:r>
        <w:t xml:space="preserve">  </w:t>
      </w:r>
      <w:r>
        <w:rPr>
          <w:b/>
        </w:rPr>
        <w:t>Proposed XAI Design Philosophy</w:t>
      </w:r>
      <w:r>
        <w:t>:</w:t>
      </w:r>
    </w:p>
    <w:p>
      <w:r>
        <w:t xml:space="preserve">The thesis concludes that XAI design must follow the </w:t>
      </w:r>
      <w:r>
        <w:rPr>
          <w:b/>
        </w:rPr>
        <w:t>"Less is More"</w:t>
      </w:r>
      <w:r>
        <w:t xml:space="preserve"> paradigm. Rather than overloading the interface, explanations should employ </w:t>
      </w:r>
      <w:r>
        <w:rPr>
          <w:b/>
        </w:rPr>
        <w:t>progressive disclosure</w:t>
      </w:r>
      <w:r>
        <w:t>—only revealing advanced tools like What-If panels or chatbots upon user demand or when the AI indicates low decision confidence.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