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4: Pilot Test Results &amp; Human-Computer Interaction Analysis</w:t>
      </w:r>
    </w:p>
    <w:p>
      <w:r>
        <w:t>This report presents the statistical results and behavioral findings gathered during the pre-test (pilot test) phase of 14 participants before the official integration of real-world machine learning models.</w:t>
      </w:r>
    </w:p>
    <w:p>
      <w:pPr>
        <w:jc w:val="center"/>
      </w:pPr>
      <w:r>
        <w:rPr>
          <w:color w:val="B4B4B4"/>
        </w:rPr>
        <w:t>__________________________________________________</w:t>
      </w:r>
    </w:p>
    <w:p>
      <w:pPr>
        <w:pStyle w:val="Heading2"/>
      </w:pPr>
      <w:r>
        <w:t>1. Participant Distribution</w:t>
      </w:r>
    </w:p>
    <w:p>
      <w:r>
        <w:t xml:space="preserve">The pilot phase involved </w:t>
      </w:r>
      <w:r>
        <w:rPr>
          <w:b/>
        </w:rPr>
        <w:t>14 credit underwriters</w:t>
      </w:r>
      <w:r>
        <w:t xml:space="preserve"> who completed 20 evaluation scenarios and 6 NASA-TLX survey questions (totaling 295 individual decision data points):</w:t>
      </w:r>
    </w:p>
    <w:p>
      <w:pPr>
        <w:pStyle w:val="ListBullet"/>
      </w:pPr>
      <w:r>
        <w:t xml:space="preserve">  </w:t>
      </w:r>
      <w:r>
        <w:rPr>
          <w:b/>
        </w:rPr>
        <w:t>Group A (Control - Black-box AI)</w:t>
      </w:r>
      <w:r>
        <w:t>: 5 participants.</w:t>
      </w:r>
    </w:p>
    <w:p>
      <w:pPr>
        <w:pStyle w:val="ListBullet"/>
      </w:pPr>
      <w:r>
        <w:t xml:space="preserve">  </w:t>
      </w:r>
      <w:r>
        <w:rPr>
          <w:b/>
        </w:rPr>
        <w:t>Group B (Visual XAI)</w:t>
      </w:r>
      <w:r>
        <w:t>: 6 participants.</w:t>
      </w:r>
    </w:p>
    <w:p>
      <w:pPr>
        <w:pStyle w:val="ListBullet"/>
      </w:pPr>
      <w:r>
        <w:t xml:space="preserve">  </w:t>
      </w:r>
      <w:r>
        <w:rPr>
          <w:b/>
        </w:rPr>
        <w:t>Group C (Interactive &amp; Contextual XAI)</w:t>
      </w:r>
      <w:r>
        <w:t>: 3 participants.</w:t>
      </w:r>
    </w:p>
    <w:p>
      <w:pPr>
        <w:jc w:val="center"/>
      </w:pPr>
      <w:r>
        <w:rPr>
          <w:color w:val="B4B4B4"/>
        </w:rPr>
        <w:t>__________________________________________________</w:t>
      </w:r>
    </w:p>
    <w:p>
      <w:pPr>
        <w:pStyle w:val="Heading2"/>
      </w:pPr>
      <w:r>
        <w:t>2. Key Empirical Findings</w:t>
      </w:r>
    </w:p>
    <w:p>
      <w:pPr>
        <w:pStyle w:val="Heading3"/>
      </w:pPr>
      <w:r>
        <w:t>2.1. Automation Bias (Agreement Rate)</w:t>
      </w:r>
    </w:p>
    <w:p>
      <w:r>
        <w:t>Agreement rate measures how frequently users followed the AI's final recommendation without questioning:</w:t>
      </w:r>
    </w:p>
    <w:p>
      <w:pPr>
        <w:pStyle w:val="ListBullet"/>
      </w:pPr>
      <w:r>
        <w:t xml:space="preserve">  </w:t>
      </w:r>
      <w:r>
        <w:rPr>
          <w:b/>
        </w:rPr>
        <w:t>Group A (No explanations)</w:t>
      </w:r>
      <w:r>
        <w:t xml:space="preserve">: </w:t>
      </w:r>
      <w:r>
        <w:rPr>
          <w:b/>
        </w:rPr>
        <w:t>70.00%</w:t>
      </w:r>
      <w:r/>
    </w:p>
    <w:p>
      <w:pPr>
        <w:pStyle w:val="ListBullet"/>
      </w:pPr>
      <w:r>
        <w:t xml:space="preserve">  </w:t>
      </w:r>
      <w:r>
        <w:rPr>
          <w:b/>
        </w:rPr>
        <w:t>Group B (Basic Visual XAI)</w:t>
      </w:r>
      <w:r>
        <w:t xml:space="preserve">: </w:t>
      </w:r>
      <w:r>
        <w:rPr>
          <w:b/>
        </w:rPr>
        <w:t>72.50%</w:t>
      </w:r>
      <w:r/>
    </w:p>
    <w:p>
      <w:pPr>
        <w:pStyle w:val="ListBullet"/>
      </w:pPr>
      <w:r>
        <w:t xml:space="preserve">  </w:t>
      </w:r>
      <w:r>
        <w:rPr>
          <w:b/>
        </w:rPr>
        <w:t>Group C (Interactive XAI)</w:t>
      </w:r>
      <w:r>
        <w:t xml:space="preserve">: </w:t>
      </w:r>
      <w:r>
        <w:rPr>
          <w:b/>
        </w:rPr>
        <w:t>80.00%</w:t>
      </w:r>
      <w:r/>
    </w:p>
    <w:p>
      <w:pPr>
        <w:pStyle w:val="Heading6"/>
      </w:pPr>
      <w:r>
        <w:t>HCI Analysis:</w:t>
      </w:r>
    </w:p>
    <w:p>
      <w:r>
        <w:t xml:space="preserve">A key cognitive phenomenon was observed: </w:t>
      </w:r>
      <w:r>
        <w:rPr>
          <w:b/>
        </w:rPr>
        <w:t>Group C (Complex Interactive XAI) recorded the highest automation bias (80%)</w:t>
      </w:r>
      <w:r>
        <w:t xml:space="preserve">. This supports the </w:t>
      </w:r>
      <w:r>
        <w:rPr>
          <w:b/>
        </w:rPr>
        <w:t>Information Overload and Blind Trust Hypothesis</w:t>
      </w:r>
      <w:r>
        <w:t>: When presented with complex mathematical parameters, force plots, and interactive chatbot windows, users experience high cognitive load. Rather than exerting extra mental effort to critique the AI, they choose to blindly trust its suggestions to complete the test quickly.</w:t>
      </w:r>
    </w:p>
    <w:p>
      <w:pPr>
        <w:jc w:val="center"/>
      </w:pPr>
      <w:r>
        <w:rPr>
          <w:color w:val="B4B4B4"/>
        </w:rPr>
        <w:t>__________________________________________________</w:t>
      </w:r>
    </w:p>
    <w:p>
      <w:pPr>
        <w:pStyle w:val="Heading3"/>
      </w:pPr>
      <w:r>
        <w:t>2.2. Adversarial Error (Trap) Detection Accuracy</w:t>
      </w:r>
    </w:p>
    <w:p>
      <w:r>
        <w:t>Four out of the 20 profiles were designed as obvious credit risks (e.g., high defaults, high DTI) where the AI recommended approval, testing the participants' vigilance:</w:t>
      </w:r>
    </w:p>
    <w:p>
      <w:pPr>
        <w:pStyle w:val="ListBullet"/>
      </w:pPr>
      <w:r>
        <w:t xml:space="preserve">  </w:t>
      </w:r>
      <w:r>
        <w:rPr>
          <w:b/>
        </w:rPr>
        <w:t>Trap Detection Rate (Rejecting wrong AI suggestions)</w:t>
      </w:r>
      <w:r>
        <w:t>:</w:t>
      </w:r>
    </w:p>
    <w:p>
      <w:pPr>
        <w:pStyle w:val="ListBullet"/>
      </w:pPr>
      <w:r/>
      <w:r>
        <w:rPr>
          <w:b/>
        </w:rPr>
        <w:t>Group A</w:t>
      </w:r>
      <w:r>
        <w:t xml:space="preserve">: </w:t>
      </w:r>
      <w:r>
        <w:rPr>
          <w:b/>
        </w:rPr>
        <w:t>30.00%</w:t>
      </w:r>
      <w:r/>
    </w:p>
    <w:p>
      <w:pPr>
        <w:pStyle w:val="ListBullet"/>
      </w:pPr>
      <w:r/>
      <w:r>
        <w:rPr>
          <w:b/>
        </w:rPr>
        <w:t>Group B</w:t>
      </w:r>
      <w:r>
        <w:t xml:space="preserve">: </w:t>
      </w:r>
      <w:r>
        <w:rPr>
          <w:b/>
        </w:rPr>
        <w:t>50.00%</w:t>
      </w:r>
      <w:r/>
    </w:p>
    <w:p>
      <w:pPr>
        <w:pStyle w:val="ListBullet"/>
      </w:pPr>
      <w:r/>
      <w:r>
        <w:rPr>
          <w:b/>
        </w:rPr>
        <w:t>Group C</w:t>
      </w:r>
      <w:r>
        <w:t xml:space="preserve">: </w:t>
      </w:r>
      <w:r>
        <w:rPr>
          <w:b/>
        </w:rPr>
        <w:t>50.00%</w:t>
      </w:r>
      <w:r/>
    </w:p>
    <w:p>
      <w:pPr>
        <w:pStyle w:val="ListBullet"/>
      </w:pPr>
      <w:r>
        <w:t xml:space="preserve">  </w:t>
      </w:r>
      <w:r>
        <w:rPr>
          <w:b/>
        </w:rPr>
        <w:t>Attention Check Pass Rate</w:t>
      </w:r>
      <w:r>
        <w:t>:</w:t>
      </w:r>
    </w:p>
    <w:p>
      <w:pPr>
        <w:pStyle w:val="ListBullet"/>
      </w:pPr>
      <w:r/>
      <w:r>
        <w:rPr>
          <w:b/>
        </w:rPr>
        <w:t>Group A</w:t>
      </w:r>
      <w:r>
        <w:t xml:space="preserve">: </w:t>
      </w:r>
      <w:r>
        <w:rPr>
          <w:b/>
        </w:rPr>
        <w:t>70.00%</w:t>
      </w:r>
      <w:r/>
    </w:p>
    <w:p>
      <w:pPr>
        <w:pStyle w:val="ListBullet"/>
      </w:pPr>
      <w:r/>
      <w:r>
        <w:rPr>
          <w:b/>
        </w:rPr>
        <w:t>Group B</w:t>
      </w:r>
      <w:r>
        <w:t xml:space="preserve">: </w:t>
      </w:r>
      <w:r>
        <w:rPr>
          <w:b/>
        </w:rPr>
        <w:t>66.67%</w:t>
      </w:r>
      <w:r/>
    </w:p>
    <w:p>
      <w:pPr>
        <w:pStyle w:val="ListBullet"/>
      </w:pPr>
      <w:r/>
      <w:r>
        <w:rPr>
          <w:b/>
        </w:rPr>
        <w:t>Group C</w:t>
      </w:r>
      <w:r>
        <w:t xml:space="preserve">: </w:t>
      </w:r>
      <w:r>
        <w:rPr>
          <w:b/>
        </w:rPr>
        <w:t>50.00%</w:t>
      </w:r>
      <w:r/>
    </w:p>
    <w:p>
      <w:pPr>
        <w:pStyle w:val="Heading6"/>
      </w:pPr>
      <w:r>
        <w:t>Analysis:</w:t>
      </w:r>
    </w:p>
    <w:p>
      <w:r>
        <w:t xml:space="preserve">The attention check pass rate plummeted to </w:t>
      </w:r>
      <w:r>
        <w:rPr>
          <w:b/>
        </w:rPr>
        <w:t>50% in Group C</w:t>
      </w:r>
      <w:r>
        <w:t>. This strongly implies that complex explanations do not automatically translate to better decision accuracy. Instead, they exhaust the user's attention reserves.</w:t>
      </w:r>
    </w:p>
    <w:p>
      <w:pPr>
        <w:jc w:val="center"/>
      </w:pPr>
      <w:r>
        <w:rPr>
          <w:color w:val="B4B4B4"/>
        </w:rPr>
        <w:t>__________________________________________________</w:t>
      </w:r>
    </w:p>
    <w:p>
      <w:pPr>
        <w:pStyle w:val="Heading3"/>
      </w:pPr>
      <w:r>
        <w:t>2.3. Decision Time per Scenario</w:t>
      </w:r>
    </w:p>
    <w:p>
      <w:pPr>
        <w:pStyle w:val="ListBullet"/>
      </w:pPr>
      <w:r>
        <w:t xml:space="preserve">  </w:t>
      </w:r>
      <w:r>
        <w:rPr>
          <w:b/>
        </w:rPr>
        <w:t>Group A (Black-box)</w:t>
      </w:r>
      <w:r>
        <w:t xml:space="preserve">: </w:t>
      </w:r>
      <w:r>
        <w:rPr>
          <w:b/>
        </w:rPr>
        <w:t>12.29 seconds</w:t>
      </w:r>
      <w:r/>
    </w:p>
    <w:p>
      <w:pPr>
        <w:pStyle w:val="ListBullet"/>
      </w:pPr>
      <w:r>
        <w:t xml:space="preserve">  </w:t>
      </w:r>
      <w:r>
        <w:rPr>
          <w:b/>
        </w:rPr>
        <w:t>Group B (Visual XAI)</w:t>
      </w:r>
      <w:r>
        <w:t xml:space="preserve">: </w:t>
      </w:r>
      <w:r>
        <w:rPr>
          <w:b/>
        </w:rPr>
        <w:t>9.27 seconds</w:t>
      </w:r>
      <w:r/>
    </w:p>
    <w:p>
      <w:pPr>
        <w:pStyle w:val="ListBullet"/>
      </w:pPr>
      <w:r>
        <w:t xml:space="preserve">  </w:t>
      </w:r>
      <w:r>
        <w:rPr>
          <w:b/>
        </w:rPr>
        <w:t>Group C (Interactive XAI)</w:t>
      </w:r>
      <w:r>
        <w:t xml:space="preserve">: </w:t>
      </w:r>
      <w:r>
        <w:rPr>
          <w:b/>
        </w:rPr>
        <w:t>24.63 seconds</w:t>
      </w:r>
      <w:r/>
    </w:p>
    <w:p>
      <w:pPr>
        <w:pStyle w:val="Heading6"/>
      </w:pPr>
      <w:r>
        <w:t>Analysis:</w:t>
      </w:r>
    </w:p>
    <w:p>
      <w:r>
        <w:t>Group B achieved the fastest decision time (9.27s), indicating that simple visual SHAP bar charts and concise summaries help users identify key factors immediately. Group C took 2.6 times longer than Group B (24.63s) because participants had to navigate the Pearson correlation matrix and decipher the SHAP Force Plot.</w:t>
      </w:r>
    </w:p>
    <w:p>
      <w:pPr>
        <w:jc w:val="center"/>
      </w:pPr>
      <w:r>
        <w:rPr>
          <w:color w:val="B4B4B4"/>
        </w:rPr>
        <w:t>__________________________________________________</w:t>
      </w:r>
    </w:p>
    <w:p>
      <w:pPr>
        <w:pStyle w:val="Heading2"/>
      </w:pPr>
      <w:r>
        <w:t>3. Pilot Study Comparison Chart (English)</w:t>
      </w:r>
    </w:p>
    <w:p>
      <w:r>
        <w:t>The chart below visualizes the performance metrics across the three experimental groups:</w:t>
      </w:r>
    </w:p>
    <w:p>
      <w:r>
        <w:drawing>
          <wp:inline xmlns:a="http://schemas.openxmlformats.org/drawingml/2006/main" xmlns:pic="http://schemas.openxmlformats.org/drawingml/2006/picture">
            <wp:extent cx="5303520" cy="1827323"/>
            <wp:docPr id="1" name="Picture 1"/>
            <wp:cNvGraphicFramePr>
              <a:graphicFrameLocks noChangeAspect="1"/>
            </wp:cNvGraphicFramePr>
            <a:graphic>
              <a:graphicData uri="http://schemas.openxmlformats.org/drawingml/2006/picture">
                <pic:pic>
                  <pic:nvPicPr>
                    <pic:cNvPr id="0" name="pilot_results_en.png"/>
                    <pic:cNvPicPr/>
                  </pic:nvPicPr>
                  <pic:blipFill>
                    <a:blip r:embed="rId9"/>
                    <a:stretch>
                      <a:fillRect/>
                    </a:stretch>
                  </pic:blipFill>
                  <pic:spPr>
                    <a:xfrm>
                      <a:off x="0" y="0"/>
                      <a:ext cx="5303520" cy="1827323"/>
                    </a:xfrm>
                    <a:prstGeom prst="rect"/>
                  </pic:spPr>
                </pic:pic>
              </a:graphicData>
            </a:graphic>
          </wp:inline>
        </w:drawing>
      </w:r>
    </w:p>
    <w:p>
      <w:pPr>
        <w:jc w:val="center"/>
      </w:pPr>
      <w:r>
        <w:rPr>
          <w:i/>
          <w:color w:val="646464"/>
          <w:sz w:val="19"/>
        </w:rPr>
        <w:t>Hình: Pilot Test Results</w:t>
      </w:r>
    </w:p>
    <w:p>
      <w:pPr>
        <w:jc w:val="center"/>
      </w:pPr>
      <w:r>
        <w:rPr>
          <w:color w:val="B4B4B4"/>
        </w:rPr>
        <w:t>__________________________________________________</w:t>
      </w:r>
    </w:p>
    <w:p>
      <w:pPr>
        <w:pStyle w:val="Heading2"/>
      </w:pPr>
      <w:r>
        <w:t>4. NASA-TLX Workload Analysis</w:t>
      </w:r>
    </w:p>
    <w:p>
      <w:r>
        <w:t>Participants self-assessed their workload after the experiment on a scale of 1 (Lowest/Best) to 7 (Highest/Worst):</w:t>
      </w:r>
    </w:p>
    <w:p>
      <w:r>
        <w:t>| Workload Dimension | Group A (Control) | Group B (Visual XAI) | Group C (Interactive XAI) |</w:t>
      </w:r>
    </w:p>
    <w:p>
      <w:r>
        <w:t>| :--- | :---: | :---: | :---: |</w:t>
      </w:r>
    </w:p>
    <w:p>
      <w:r>
        <w:t xml:space="preserve">| </w:t>
      </w:r>
      <w:r>
        <w:rPr>
          <w:b/>
        </w:rPr>
        <w:t>Mental Demand</w:t>
      </w:r>
      <w:r>
        <w:t xml:space="preserve"> | 3.80 | 3.17 | 3.33 |</w:t>
      </w:r>
    </w:p>
    <w:p>
      <w:r>
        <w:t xml:space="preserve">| </w:t>
      </w:r>
      <w:r>
        <w:rPr>
          <w:b/>
        </w:rPr>
        <w:t>Temporal Demand</w:t>
      </w:r>
      <w:r>
        <w:t xml:space="preserve"> | 3.20 | 2.67 | 4.00 |</w:t>
      </w:r>
    </w:p>
    <w:p>
      <w:r>
        <w:t xml:space="preserve">| </w:t>
      </w:r>
      <w:r>
        <w:rPr>
          <w:b/>
        </w:rPr>
        <w:t>Effort</w:t>
      </w:r>
      <w:r>
        <w:t xml:space="preserve"> | 4.20 | 4.00 | 3.00 |</w:t>
      </w:r>
    </w:p>
    <w:p>
      <w:r>
        <w:t xml:space="preserve">| </w:t>
      </w:r>
      <w:r>
        <w:rPr>
          <w:b/>
        </w:rPr>
        <w:t>Frustration Level</w:t>
      </w:r>
      <w:r>
        <w:t xml:space="preserve"> | 2.20 | 2.17 | 3.00 |</w:t>
      </w:r>
    </w:p>
    <w:p>
      <w:r>
        <w:t xml:space="preserve">| </w:t>
      </w:r>
      <w:r>
        <w:rPr>
          <w:b/>
        </w:rPr>
        <w:t>Performance</w:t>
      </w:r>
      <w:r>
        <w:t xml:space="preserve"> | 4.80 | 4.17 | 4.33 |</w:t>
      </w:r>
    </w:p>
    <w:p>
      <w:r>
        <w:t xml:space="preserve">| </w:t>
      </w:r>
      <w:r>
        <w:rPr>
          <w:b/>
        </w:rPr>
        <w:t>Overall Workload (Mean)</w:t>
      </w:r>
      <w:r>
        <w:t xml:space="preserve"> | </w:t>
      </w:r>
      <w:r>
        <w:rPr>
          <w:b/>
        </w:rPr>
        <w:t>3.73 / 7</w:t>
      </w:r>
      <w:r>
        <w:t xml:space="preserve"> | </w:t>
      </w:r>
      <w:r>
        <w:rPr>
          <w:b/>
        </w:rPr>
        <w:t>3.33 / 7</w:t>
      </w:r>
      <w:r>
        <w:t xml:space="preserve"> | </w:t>
      </w:r>
      <w:r>
        <w:rPr>
          <w:b/>
        </w:rPr>
        <w:t>3.50 / 7</w:t>
      </w:r>
      <w:r>
        <w:t xml:space="preserve"> |</w:t>
      </w:r>
    </w:p>
    <w:p>
      <w:pPr>
        <w:pStyle w:val="Heading6"/>
      </w:pPr>
      <w:r>
        <w:t>Key Takeaways:</w:t>
      </w:r>
    </w:p>
    <w:p>
      <w:pPr>
        <w:pStyle w:val="ListBullet"/>
      </w:pPr>
      <w:r>
        <w:t xml:space="preserve">  </w:t>
      </w:r>
      <w:r>
        <w:rPr>
          <w:b/>
        </w:rPr>
        <w:t>Group B</w:t>
      </w:r>
      <w:r>
        <w:t xml:space="preserve"> reported the lowest overall workload (</w:t>
      </w:r>
      <w:r>
        <w:rPr>
          <w:b/>
        </w:rPr>
        <w:t>3.33/7</w:t>
      </w:r>
      <w:r>
        <w:t>), proving that basic visual explanations provide the most supportive interface.</w:t>
      </w:r>
    </w:p>
    <w:p>
      <w:pPr>
        <w:pStyle w:val="ListBullet"/>
      </w:pPr>
      <w:r>
        <w:t xml:space="preserve">  </w:t>
      </w:r>
      <w:r>
        <w:rPr>
          <w:b/>
        </w:rPr>
        <w:t>Group C</w:t>
      </w:r>
      <w:r>
        <w:t xml:space="preserve"> reported the highest temporal pressure (</w:t>
      </w:r>
      <w:r>
        <w:rPr>
          <w:b/>
        </w:rPr>
        <w:t>4.00/7</w:t>
      </w:r>
      <w:r>
        <w:t>) and frustration level (</w:t>
      </w:r>
      <w:r>
        <w:rPr>
          <w:b/>
        </w:rPr>
        <w:t>3.00/7</w:t>
      </w:r>
      <w:r>
        <w:t>), but the lowest personal effort (</w:t>
      </w:r>
      <w:r>
        <w:rPr>
          <w:b/>
        </w:rPr>
        <w:t>3.00/7</w:t>
      </w:r>
      <w:r>
        <w:t>), validating that they disengaged from active critique and defaulted to copying AI suggestions.</w:t>
      </w:r>
    </w:p>
    <w:p>
      <w:pPr>
        <w:jc w:val="center"/>
      </w:pPr>
      <w:r>
        <w:rPr>
          <w:color w:val="B4B4B4"/>
        </w:rPr>
        <w:t>__________________________________________________</w:t>
      </w:r>
    </w:p>
    <w:p>
      <w:pPr>
        <w:pStyle w:val="Heading2"/>
      </w:pPr>
      <w:r>
        <w:t>5. System Improvements for Main Study Deployment</w:t>
      </w:r>
    </w:p>
    <w:p>
      <w:r>
        <w:t>Based on the pilot observations, three key system improvements were proposed and successfully integrated:</w:t>
      </w:r>
    </w:p>
    <w:p>
      <w:pPr>
        <w:pStyle w:val="ListNumber"/>
      </w:pPr>
      <w:r/>
      <w:r>
        <w:rPr>
          <w:b/>
        </w:rPr>
        <w:t>VND Currency Alignment</w:t>
      </w:r>
      <w:r>
        <w:t>: Transitioned the financial profile parameters from foreign currencies to localized Vietnamese Dong (VND) scales, enhancing business familiarity and reducing cognitive conversion barriers.</w:t>
      </w:r>
    </w:p>
    <w:p>
      <w:pPr>
        <w:pStyle w:val="ListNumber"/>
      </w:pPr>
      <w:r/>
      <w:r>
        <w:rPr>
          <w:b/>
        </w:rPr>
        <w:t>Sequence Shuffling</w:t>
      </w:r>
      <w:r>
        <w:t>: Randomized the order of the 20 evaluation profiles (alternating and mixing approve/reject suggestions) to eliminate sequence bias.</w:t>
      </w:r>
    </w:p>
    <w:p>
      <w:pPr>
        <w:pStyle w:val="ListNumber"/>
      </w:pPr>
      <w:r/>
      <w:r>
        <w:rPr>
          <w:b/>
        </w:rPr>
        <w:t>Group C Layout Re-Structuring</w:t>
      </w:r>
      <w:r>
        <w:t>: Placed the SHAP Force Plot at the top of the interface as a primary visual indicator, positioning secondary items below to improve aesthetics and task flow.</w:t>
      </w:r>
    </w:p>
    <w:p>
      <w:pPr>
        <w:jc w:val="center"/>
      </w:pPr>
      <w:r>
        <w:rPr>
          <w:color w:val="B4B4B4"/>
        </w:rPr>
        <w:t>__________________________________________________</w:t>
      </w:r>
    </w:p>
    <w:p>
      <w:pPr>
        <w:pStyle w:val="Heading2"/>
      </w:pPr>
      <w:r>
        <w:t>6. User Segmentation &amp; Advanced Mobile Telemetry for Phase 2</w:t>
      </w:r>
    </w:p>
    <w:p>
      <w:r>
        <w:t xml:space="preserve">To analyze the factors modulating </w:t>
      </w:r>
      <w:r>
        <w:rPr>
          <w:b/>
        </w:rPr>
        <w:t>Automation Bias</w:t>
      </w:r>
      <w:r>
        <w:t xml:space="preserve"> and </w:t>
      </w:r>
      <w:r>
        <w:rPr>
          <w:b/>
        </w:rPr>
        <w:t>Cognitive Load</w:t>
      </w:r>
      <w:r>
        <w:t>, the second phase of data collection introduces granular demographic classification variables captured on onboarding and a custom mobile telemetry engine:</w:t>
      </w:r>
    </w:p>
    <w:p>
      <w:pPr>
        <w:pStyle w:val="ListNumber"/>
      </w:pPr>
      <w:r/>
      <w:r>
        <w:rPr>
          <w:b/>
        </w:rPr>
        <w:t>Academic Major</w:t>
      </w:r>
      <w:r>
        <w:t xml:space="preserve">: Grouping participants into </w:t>
      </w:r>
      <w:r>
        <w:rPr>
          <w:b/>
        </w:rPr>
        <w:t>Computer Science/IT (IT)</w:t>
      </w:r>
      <w:r>
        <w:t xml:space="preserve">, </w:t>
      </w:r>
      <w:r>
        <w:rPr>
          <w:b/>
        </w:rPr>
        <w:t>Business/Economics (Business)</w:t>
      </w:r>
      <w:r>
        <w:t xml:space="preserve">, and </w:t>
      </w:r>
      <w:r>
        <w:rPr>
          <w:b/>
        </w:rPr>
        <w:t>Others</w:t>
      </w:r>
      <w:r>
        <w:t>.</w:t>
      </w:r>
    </w:p>
    <w:p>
      <w:pPr>
        <w:pStyle w:val="ListBullet"/>
      </w:pPr>
      <w:r>
        <w:t xml:space="preserve">  *Research Hypothesis*: IT students will exhibit higher skepticism towards algorithmic suggestions, resulting in lower automation bias due to their technical understanding of the black-box model.</w:t>
      </w:r>
    </w:p>
    <w:p>
      <w:pPr>
        <w:pStyle w:val="ListNumber"/>
      </w:pPr>
      <w:r/>
      <w:r>
        <w:rPr>
          <w:b/>
        </w:rPr>
        <w:t>AI Tools Usage Frequency</w:t>
      </w:r>
      <w:r>
        <w:t xml:space="preserve">: Classifying users by their exposure frequency: </w:t>
      </w:r>
      <w:r>
        <w:rPr>
          <w:b/>
        </w:rPr>
        <w:t>Rarely or never</w:t>
      </w:r>
      <w:r>
        <w:t xml:space="preserve">, </w:t>
      </w:r>
      <w:r>
        <w:rPr>
          <w:b/>
        </w:rPr>
        <w:t>Occasionally</w:t>
      </w:r>
      <w:r>
        <w:t xml:space="preserve">, </w:t>
      </w:r>
      <w:r>
        <w:rPr>
          <w:b/>
        </w:rPr>
        <w:t>Frequently</w:t>
      </w:r>
      <w:r>
        <w:t xml:space="preserve">, and </w:t>
      </w:r>
      <w:r>
        <w:rPr>
          <w:b/>
        </w:rPr>
        <w:t>Daily</w:t>
      </w:r>
      <w:r>
        <w:t>.</w:t>
      </w:r>
    </w:p>
    <w:p>
      <w:pPr>
        <w:pStyle w:val="ListNumber"/>
      </w:pPr>
      <w:r/>
      <w:r>
        <w:rPr>
          <w:b/>
        </w:rPr>
        <w:t>Participant's Age Group</w:t>
      </w:r>
      <w:r>
        <w:t xml:space="preserve">: Categorizing subjects into 5 brackets: </w:t>
      </w:r>
      <w:r>
        <w:rPr>
          <w:b/>
        </w:rPr>
        <w:t>Under 18</w:t>
      </w:r>
      <w:r>
        <w:t xml:space="preserve">, </w:t>
      </w:r>
      <w:r>
        <w:rPr>
          <w:b/>
        </w:rPr>
        <w:t>18-22 (Students)</w:t>
      </w:r>
      <w:r>
        <w:t xml:space="preserve">, </w:t>
      </w:r>
      <w:r>
        <w:rPr>
          <w:b/>
        </w:rPr>
        <w:t>23-30 (Young professionals)</w:t>
      </w:r>
      <w:r>
        <w:t xml:space="preserve">, </w:t>
      </w:r>
      <w:r>
        <w:rPr>
          <w:b/>
        </w:rPr>
        <w:t>31-45 (Mid-career)</w:t>
      </w:r>
      <w:r>
        <w:t xml:space="preserve">, and </w:t>
      </w:r>
      <w:r>
        <w:rPr>
          <w:b/>
        </w:rPr>
        <w:t>Above 45</w:t>
      </w:r>
      <w:r>
        <w:t>.</w:t>
      </w:r>
    </w:p>
    <w:p>
      <w:pPr>
        <w:pStyle w:val="ListBullet"/>
      </w:pPr>
      <w:r>
        <w:t xml:space="preserve">  *Research Hypothesis*: Age-based groups will capture generational variance in algorithm trust. Younger digital natives are expected to adapt quicker to XAI charts and seek deeper chatbot explanation details.</w:t>
      </w:r>
    </w:p>
    <w:p>
      <w:pPr>
        <w:pStyle w:val="ListNumber"/>
      </w:pPr>
      <w:r/>
      <w:r>
        <w:rPr>
          <w:b/>
        </w:rPr>
        <w:t>Device Type &amp; Warning Banner</w:t>
      </w:r>
      <w:r>
        <w:t>:</w:t>
      </w:r>
    </w:p>
    <w:p>
      <w:pPr>
        <w:pStyle w:val="ListBullet"/>
      </w:pPr>
      <w:r>
        <w:t xml:space="preserve">  Automatically record the client device: </w:t>
      </w:r>
      <w:r>
        <w:rPr>
          <w:b/>
        </w:rPr>
        <w:t>Desktop</w:t>
      </w:r>
      <w:r>
        <w:t xml:space="preserve">, </w:t>
      </w:r>
      <w:r>
        <w:rPr>
          <w:b/>
        </w:rPr>
        <w:t>Mobile</w:t>
      </w:r>
      <w:r>
        <w:t xml:space="preserve">, or </w:t>
      </w:r>
      <w:r>
        <w:rPr>
          <w:b/>
        </w:rPr>
        <w:t>Tablet</w:t>
      </w:r>
      <w:r>
        <w:t>.</w:t>
      </w:r>
    </w:p>
    <w:p>
      <w:pPr>
        <w:pStyle w:val="ListBullet"/>
      </w:pPr>
      <w:r>
        <w:t xml:space="preserve">  Present a prominent suggestion banner to mobile/tablet users to switch to a computer to ensure clean hover metric capture.</w:t>
      </w:r>
    </w:p>
    <w:p>
      <w:pPr>
        <w:pStyle w:val="ListNumber"/>
      </w:pPr>
      <w:r/>
      <w:r>
        <w:rPr>
          <w:b/>
        </w:rPr>
        <w:t>Advanced Mobile Telemetry Subsystem</w:t>
      </w:r>
      <w:r>
        <w:t>:</w:t>
      </w:r>
    </w:p>
    <w:p>
      <w:pPr>
        <w:pStyle w:val="ListBullet"/>
      </w:pPr>
      <w:r>
        <w:t xml:space="preserve">  *Visibility Adjusted Time*: Utilizes the </w:t>
      </w:r>
      <w:r>
        <w:rPr>
          <w:b/>
        </w:rPr>
        <w:t>Page Visibility API</w:t>
      </w:r>
      <w:r>
        <w:t xml:space="preserve"> to track tab out-of-focus segments (app-switching, screen lock) and subtracts it from `time_spent_seconds` to deliver clean response times.</w:t>
      </w:r>
    </w:p>
    <w:p>
      <w:pPr>
        <w:pStyle w:val="ListBullet"/>
      </w:pPr>
      <w:r>
        <w:t xml:space="preserve">  *Viewport Dwell Time (XAI Card)*: Employs the </w:t>
      </w:r>
      <w:r>
        <w:rPr>
          <w:b/>
        </w:rPr>
        <w:t>Intersection Observer API</w:t>
      </w:r>
      <w:r>
        <w:t xml:space="preserve"> to calculate how long the explanation element was visible in the active viewport, replacing hover metrics for mobile.</w:t>
      </w:r>
    </w:p>
    <w:p>
      <w:pPr>
        <w:pStyle w:val="ListBullet"/>
      </w:pPr>
      <w:r>
        <w:t xml:space="preserve">  *Scroll Dynamics*: Logs peak scroll depth (%) and scroll direction changes to model context comparisons.</w:t>
      </w:r>
    </w:p>
    <w:p>
      <w:pPr>
        <w:pStyle w:val="ListBullet"/>
      </w:pPr>
      <w:r>
        <w:t xml:space="preserve">  *Touch Dynamics*: Measures click/tap holding durations (hesitation) and rage taps (user frustration/impatience).</w:t>
      </w:r>
    </w:p>
    <w:p>
      <w:r>
        <w:t>The combination of the three experimental interfaces ($A, B, C$) with these user segmentation variables will supply a rich data matrix for ANOVA and Chi-Square statistical tests in the thesis results.</w:t>
      </w:r>
    </w:p>
    <w:p>
      <w:pPr>
        <w:jc w:val="center"/>
      </w:pPr>
      <w:r>
        <w:rPr>
          <w:color w:val="B4B4B4"/>
        </w:rPr>
        <w:t>__________________________________________________</w:t>
      </w:r>
    </w:p>
    <w:p>
      <w:pPr>
        <w:pStyle w:val="Heading3"/>
      </w:pPr>
      <w:r>
        <w:t>AI Collaboration &amp; Attribution Statement</w:t>
      </w:r>
    </w:p>
    <w:p>
      <w:pPr>
        <w:pStyle w:val="ListBullet"/>
      </w:pPr>
      <w:r>
        <w:t xml:space="preserve">  </w:t>
      </w:r>
      <w:r>
        <w:rPr>
          <w:b/>
        </w:rPr>
        <w:t>Technical Support &amp; Drafting</w:t>
      </w:r>
      <w:r>
        <w:t xml:space="preserve">: This document was compiled, structured, and translated with the assistance of </w:t>
      </w:r>
      <w:r>
        <w:rPr>
          <w:b/>
        </w:rPr>
        <w:t>Antigravity (Advanced Agentic Coding Assistant from Google DeepMind)</w:t>
      </w:r>
      <w:r>
        <w:t>.</w:t>
      </w:r>
    </w:p>
    <w:p>
      <w:pPr>
        <w:pStyle w:val="ListBullet"/>
      </w:pPr>
      <w:r>
        <w:t xml:space="preserve">  </w:t>
      </w:r>
      <w:r>
        <w:rPr>
          <w:b/>
        </w:rPr>
        <w:t>Scientific Design &amp; Responsibility</w:t>
      </w:r>
      <w:r>
        <w:t>: The core research objectives, experimental hypotheses, empirical data collection, and qualitative UI insights (such as task workflow ambiguity observations) are the sole intellectual product and scientific responsibility of the human researcher (thesis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