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2: Web Application Architecture &amp; Experimental User Flow</w:t>
      </w:r>
    </w:p>
    <w:p>
      <w:r>
        <w:t>This document details the web system developed for the HCI credit underwriting experiment, including the database schema, API design, interface layout groups, and telemetry tracking capabilities.</w:t>
      </w:r>
    </w:p>
    <w:p>
      <w:pPr>
        <w:jc w:val="center"/>
      </w:pPr>
      <w:r>
        <w:rPr>
          <w:color w:val="B4B4B4"/>
        </w:rPr>
        <w:t>__________________________________________________</w:t>
      </w:r>
    </w:p>
    <w:p>
      <w:pPr>
        <w:pStyle w:val="Heading2"/>
      </w:pPr>
      <w:r>
        <w:t>1. Web Application Framework</w:t>
      </w:r>
    </w:p>
    <w:p>
      <w:r>
        <w:t>The system is built as a modern, high-performance web application utilizing:</w:t>
      </w:r>
    </w:p>
    <w:p>
      <w:pPr>
        <w:pStyle w:val="ListBullet"/>
      </w:pPr>
      <w:r>
        <w:t xml:space="preserve">  </w:t>
      </w:r>
      <w:r>
        <w:rPr>
          <w:b/>
        </w:rPr>
        <w:t>Frontend</w:t>
      </w:r>
      <w:r>
        <w:t>: Next.js 15, React 19, and TailwindCSS for responsive layout.</w:t>
      </w:r>
    </w:p>
    <w:p>
      <w:pPr>
        <w:pStyle w:val="ListBullet"/>
      </w:pPr>
      <w:r>
        <w:t xml:space="preserve">  </w:t>
      </w:r>
      <w:r>
        <w:rPr>
          <w:b/>
        </w:rPr>
        <w:t>Database ORM</w:t>
      </w:r>
      <w:r>
        <w:t>: Prisma Client mapped to a PostgreSQL database hosted on Supabase.</w:t>
      </w:r>
    </w:p>
    <w:p>
      <w:pPr>
        <w:pStyle w:val="ListBullet"/>
      </w:pPr>
      <w:r>
        <w:t xml:space="preserve">  </w:t>
      </w:r>
      <w:r>
        <w:rPr>
          <w:b/>
        </w:rPr>
        <w:t>State Management</w:t>
      </w:r>
      <w:r>
        <w:t>: React state hooks coupled with local storage persistence.</w:t>
      </w:r>
    </w:p>
    <w:p>
      <w:pPr>
        <w:pStyle w:val="ListBullet"/>
      </w:pPr>
      <w:r>
        <w:t xml:space="preserve">  </w:t>
      </w:r>
      <w:r>
        <w:rPr>
          <w:b/>
        </w:rPr>
        <w:t>API Layer</w:t>
      </w:r>
      <w:r>
        <w:t>: Next.js API Routes (`/api/users`, `/api/responses`, `/api/survey`, `/api/chat`).</w:t>
      </w:r>
    </w:p>
    <w:p>
      <w:pPr>
        <w:jc w:val="center"/>
      </w:pPr>
      <w:r>
        <w:rPr>
          <w:color w:val="B4B4B4"/>
        </w:rPr>
        <w:t>__________________________________________________</w:t>
      </w:r>
    </w:p>
    <w:p>
      <w:pPr>
        <w:pStyle w:val="Heading2"/>
      </w:pPr>
      <w:r>
        <w:t>2. Dynamic Bilingual Support &amp; Configuration</w:t>
      </w:r>
    </w:p>
    <w:p>
      <w:r>
        <w:t>The application features a dynamic bilingual switcher (English/Vietnamese) located in the header bar.</w:t>
      </w:r>
    </w:p>
    <w:p>
      <w:pPr>
        <w:pStyle w:val="ListBullet"/>
      </w:pPr>
      <w:r>
        <w:t xml:space="preserve">  </w:t>
      </w:r>
      <w:r>
        <w:rPr>
          <w:b/>
        </w:rPr>
        <w:t>Mechanism</w:t>
      </w:r>
      <w:r>
        <w:t>: A custom `translations.json` dictionary maps all user interface strings, buttons, descriptions, and glossary tooltips.</w:t>
      </w:r>
    </w:p>
    <w:p>
      <w:pPr>
        <w:pStyle w:val="ListBullet"/>
      </w:pPr>
      <w:r>
        <w:t xml:space="preserve">  </w:t>
      </w:r>
      <w:r>
        <w:rPr>
          <w:b/>
        </w:rPr>
        <w:t>On-the-fly Translation</w:t>
      </w:r>
      <w:r>
        <w:t>: Underwriter profiles, AI chatbot interactions, and SHAP explanation texts are dynamically translated using a lookup pattern, minimizing client-side overhead and avoiding database synchronization issues.</w:t>
      </w:r>
    </w:p>
    <w:p>
      <w:pPr>
        <w:jc w:val="center"/>
      </w:pPr>
      <w:r>
        <w:rPr>
          <w:color w:val="B4B4B4"/>
        </w:rPr>
        <w:t>__________________________________________________</w:t>
      </w:r>
    </w:p>
    <w:p>
      <w:pPr>
        <w:pStyle w:val="Heading2"/>
      </w:pPr>
      <w:r>
        <w:t>3. UI Layout and Group Walkthroughs</w:t>
      </w:r>
    </w:p>
    <w:p>
      <w:r>
        <w:t>The application implements three distinct interfaces tailored for each test group.</w:t>
      </w:r>
    </w:p>
    <w:p>
      <w:pPr>
        <w:pStyle w:val="Heading3"/>
      </w:pPr>
      <w:r>
        <w:t>3.1. Group A (Black-box AI)</w:t>
      </w:r>
    </w:p>
    <w:p>
      <w:r>
        <w:t>Displays only the client's financial profile and the AI's final recommendation (Approve/Reject) with a confidence level. No explanation charts or models are shown.</w:t>
      </w:r>
    </w:p>
    <w:p>
      <w:r>
        <w:drawing>
          <wp:inline xmlns:a="http://schemas.openxmlformats.org/drawingml/2006/main" xmlns:pic="http://schemas.openxmlformats.org/drawingml/2006/picture">
            <wp:extent cx="5303520" cy="26793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yout_group_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79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Hình: Group A Interface Layout</w:t>
      </w:r>
    </w:p>
    <w:p>
      <w:pPr>
        <w:jc w:val="center"/>
      </w:pPr>
      <w:r>
        <w:rPr>
          <w:color w:val="B4B4B4"/>
        </w:rPr>
        <w:t>__________________________________________________</w:t>
      </w:r>
    </w:p>
    <w:p>
      <w:pPr>
        <w:pStyle w:val="Heading3"/>
      </w:pPr>
      <w:r>
        <w:t>3.2. Group B (Visual XAI)</w:t>
      </w:r>
    </w:p>
    <w:p>
      <w:r>
        <w:t xml:space="preserve">Displays the profile, AI recommendation card, and a basic </w:t>
      </w:r>
      <w:r>
        <w:rPr>
          <w:b/>
        </w:rPr>
        <w:t>SHAP Bar Chart</w:t>
      </w:r>
      <w:r>
        <w:t xml:space="preserve"> illustrating the positive (emerald) and negative (rose) weights of attributes contributing to the prediction, along with a natural language summary.</w:t>
      </w:r>
    </w:p>
    <w:p>
      <w:r>
        <w:rPr>
          <w:b/>
        </w:rPr>
        <w:t>[Hình ảnh không tìm thấy: ../assets/group_b_explanation.png]</w:t>
      </w:r>
    </w:p>
    <w:p>
      <w:pPr>
        <w:jc w:val="center"/>
      </w:pPr>
      <w:r>
        <w:rPr>
          <w:color w:val="B4B4B4"/>
        </w:rPr>
        <w:t>__________________________________________________</w:t>
      </w:r>
    </w:p>
    <w:p>
      <w:pPr>
        <w:pStyle w:val="Heading3"/>
      </w:pPr>
      <w:r>
        <w:t>3.3. Group C (Interactive &amp; Contextual XAI)</w:t>
      </w:r>
    </w:p>
    <w:p>
      <w:r>
        <w:t>An advanced dashboard designed to study cognitive overload. The interface changes the standard layout flow completely:</w:t>
      </w:r>
    </w:p>
    <w:p>
      <w:pPr>
        <w:pStyle w:val="ListNumber"/>
      </w:pPr>
      <w:r/>
      <w:r>
        <w:rPr>
          <w:b/>
        </w:rPr>
        <w:t>SHAP Force Plot</w:t>
      </w:r>
      <w:r>
        <w:t>: Positioned prominently at the top to visualize opposing forces pushing the decision probability away from the 65% base rate.</w:t>
      </w:r>
    </w:p>
    <w:p>
      <w:pPr>
        <w:pStyle w:val="ListNumber"/>
      </w:pPr>
      <w:r/>
      <w:r>
        <w:rPr>
          <w:b/>
        </w:rPr>
        <w:t>AI Recommendation Card &amp; Natural Language Explanation</w:t>
      </w:r>
      <w:r>
        <w:t>: Located alongside the Force Plot.</w:t>
      </w:r>
    </w:p>
    <w:p>
      <w:pPr>
        <w:pStyle w:val="ListNumber"/>
      </w:pPr>
      <w:r/>
      <w:r>
        <w:rPr>
          <w:b/>
        </w:rPr>
        <w:t>Detailed Analytics Row</w:t>
      </w:r>
      <w:r>
        <w:t xml:space="preserve">: Embeds the client credit profile, SHAP Bar Chart, and the </w:t>
      </w:r>
      <w:r>
        <w:rPr>
          <w:b/>
        </w:rPr>
        <w:t>Conversational AI Explainer (Gemini Chatbot)</w:t>
      </w:r>
      <w:r>
        <w:t>.</w:t>
      </w:r>
    </w:p>
    <w:p>
      <w:pPr>
        <w:pStyle w:val="ListNumber"/>
      </w:pPr>
      <w:r/>
      <w:r>
        <w:rPr>
          <w:b/>
        </w:rPr>
        <w:t>Decision Mathematics (Pearson Correlation Matrix)</w:t>
      </w:r>
      <w:r>
        <w:t>: Located at the bottom to show advanced statistical indicators (ROC-AUC, Log-Loss, Standard Error).</w:t>
      </w:r>
    </w:p>
    <w:p>
      <w:r>
        <w:rPr>
          <w:b/>
        </w:rPr>
        <w:t>[Hình ảnh không tìm thấy: ../assets/group_c_explanation.png]</w:t>
      </w:r>
    </w:p>
    <w:p>
      <w:pPr>
        <w:jc w:val="center"/>
      </w:pPr>
      <w:r>
        <w:rPr>
          <w:color w:val="B4B4B4"/>
        </w:rPr>
        <w:t>__________________________________________________</w:t>
      </w:r>
    </w:p>
    <w:p>
      <w:pPr>
        <w:pStyle w:val="Heading2"/>
      </w:pPr>
      <w:r>
        <w:t>4. Telemetry &amp; HCI Tracking Mechanism</w:t>
      </w:r>
    </w:p>
    <w:p>
      <w:r>
        <w:t>To capture granular human behavior before decisions are finalized, the system registers:</w:t>
      </w:r>
    </w:p>
    <w:p>
      <w:pPr>
        <w:pStyle w:val="ListBullet"/>
      </w:pPr>
      <w:r>
        <w:t xml:space="preserve">  </w:t>
      </w:r>
      <w:r>
        <w:rPr>
          <w:b/>
        </w:rPr>
        <w:t>Response Time (Decision Time)</w:t>
      </w:r>
      <w:r>
        <w:t>: Tracks elapsed milliseconds from scenario mount to submission.</w:t>
      </w:r>
    </w:p>
    <w:p>
      <w:pPr>
        <w:pStyle w:val="ListBullet"/>
      </w:pPr>
      <w:r>
        <w:t xml:space="preserve">  </w:t>
      </w:r>
      <w:r>
        <w:rPr>
          <w:b/>
        </w:rPr>
        <w:t>Hover Events</w:t>
      </w:r>
      <w:r>
        <w:t>: Logs the count and total duration (seconds) that a user hovers over specific financial attributes (e.g. credit score tooltip lookup).</w:t>
      </w:r>
    </w:p>
    <w:p>
      <w:pPr>
        <w:pStyle w:val="ListBullet"/>
      </w:pPr>
      <w:r>
        <w:t xml:space="preserve">  </w:t>
      </w:r>
      <w:r>
        <w:rPr>
          <w:b/>
        </w:rPr>
        <w:t>Chatbot Logs</w:t>
      </w:r>
      <w:r>
        <w:t>: Records all user queries and AI responses (number of questions asked, chat history).</w:t>
      </w:r>
    </w:p>
    <w:p>
      <w:pPr>
        <w:pStyle w:val="ListBullet"/>
      </w:pPr>
      <w:r>
        <w:t xml:space="preserve">  </w:t>
      </w:r>
      <w:r>
        <w:rPr>
          <w:b/>
        </w:rPr>
        <w:t>NASA-TLX Survey</w:t>
      </w:r>
      <w:r>
        <w:t>: Collects six-dimensional workload ratings upon completing all 20 scenarios.</w:t>
      </w:r>
    </w:p>
    <w:p>
      <w:r>
        <w:t>Data is saved to the PostgreSQL database on Supabase via the Prisma schema.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