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4</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4</w:t>
      </w:r>
    </w:p>
    <w:p>
      <w:pPr>
        <w:tabs>
          <w:tab w:pos="9071" w:val="right" w:leader="dot"/>
        </w:tabs>
        <w:spacing w:after="80"/>
      </w:pPr>
      <w:r>
        <w:rPr>
          <w:rFonts w:ascii="Times New Roman" w:hAnsi="Times New Roman" w:cs="Times New Roman" w:eastAsia="Times New Roman"/>
          <w:sz w:val="22"/>
        </w:rPr>
        <w:t xml:space="preserve">    2.5   Statistical analysis</w:t>
        <w:tab/>
        <w:t>5</w:t>
      </w:r>
    </w:p>
    <w:p>
      <w:pPr>
        <w:tabs>
          <w:tab w:pos="9071" w:val="right" w:leader="dot"/>
        </w:tabs>
        <w:spacing w:after="80"/>
      </w:pPr>
      <w:r>
        <w:rPr>
          <w:rFonts w:ascii="Times New Roman" w:hAnsi="Times New Roman" w:cs="Times New Roman" w:eastAsia="Times New Roman"/>
          <w:sz w:val="22"/>
        </w:rPr>
        <w:t xml:space="preserve">    2.6   Stage 2: Machine learning pipeline</w:t>
        <w:tab/>
        <w:t>5</w:t>
      </w:r>
    </w:p>
    <w:p>
      <w:pPr>
        <w:tabs>
          <w:tab w:pos="9071" w:val="right" w:leader="dot"/>
        </w:tabs>
        <w:spacing w:after="80"/>
      </w:pPr>
      <w:r>
        <w:rPr>
          <w:rFonts w:ascii="Times New Roman" w:hAnsi="Times New Roman" w:cs="Times New Roman" w:eastAsia="Times New Roman"/>
          <w:sz w:val="22"/>
        </w:rPr>
        <w:t xml:space="preserve">        2.6.1   Baseline and tree-based ensembles</w:t>
        <w:tab/>
        <w:t>5</w:t>
      </w:r>
    </w:p>
    <w:p>
      <w:pPr>
        <w:tabs>
          <w:tab w:pos="9071" w:val="right" w:leader="dot"/>
        </w:tabs>
        <w:spacing w:after="80"/>
      </w:pPr>
      <w:r>
        <w:rPr>
          <w:rFonts w:ascii="Times New Roman" w:hAnsi="Times New Roman" w:cs="Times New Roman" w:eastAsia="Times New Roman"/>
          <w:sz w:val="22"/>
        </w:rPr>
        <w:t xml:space="preserve">        2.6.2   Boosting and stacking</w:t>
        <w:tab/>
        <w:t>5</w:t>
      </w:r>
    </w:p>
    <w:p>
      <w:pPr>
        <w:tabs>
          <w:tab w:pos="9071" w:val="right" w:leader="dot"/>
        </w:tabs>
        <w:spacing w:after="80"/>
      </w:pPr>
      <w:r>
        <w:rPr>
          <w:rFonts w:ascii="Times New Roman" w:hAnsi="Times New Roman" w:cs="Times New Roman" w:eastAsia="Times New Roman"/>
          <w:sz w:val="22"/>
        </w:rPr>
        <w:t xml:space="preserve">        2.6.3   Class imbalance and feature exclusions</w:t>
        <w:tab/>
        <w:t>6</w:t>
      </w:r>
    </w:p>
    <w:p>
      <w:pPr>
        <w:tabs>
          <w:tab w:pos="9071" w:val="right" w:leader="dot"/>
        </w:tabs>
        <w:spacing w:after="80"/>
      </w:pPr>
      <w:r>
        <w:rPr>
          <w:rFonts w:ascii="Times New Roman" w:hAnsi="Times New Roman" w:cs="Times New Roman" w:eastAsia="Times New Roman"/>
          <w:sz w:val="22"/>
        </w:rPr>
        <w:t xml:space="preserve">    2.7   Evaluation</w:t>
        <w:tab/>
        <w:t>6</w:t>
      </w:r>
    </w:p>
    <w:p>
      <w:pPr>
        <w:tabs>
          <w:tab w:pos="9071" w:val="right" w:leader="dot"/>
        </w:tabs>
        <w:spacing w:after="80"/>
      </w:pPr>
      <w:r>
        <w:rPr>
          <w:rFonts w:ascii="Times New Roman" w:hAnsi="Times New Roman" w:cs="Times New Roman" w:eastAsia="Times New Roman"/>
          <w:b/>
          <w:sz w:val="22"/>
        </w:rPr>
        <w:t>3   WORK DONE</w:t>
        <w:tab/>
        <w:t>7</w:t>
      </w:r>
    </w:p>
    <w:p>
      <w:pPr>
        <w:tabs>
          <w:tab w:pos="9071" w:val="right" w:leader="dot"/>
        </w:tabs>
        <w:spacing w:after="80"/>
      </w:pPr>
      <w:r>
        <w:rPr>
          <w:rFonts w:ascii="Times New Roman" w:hAnsi="Times New Roman" w:cs="Times New Roman" w:eastAsia="Times New Roman"/>
          <w:sz w:val="22"/>
        </w:rPr>
        <w:t xml:space="preserve">    3.1   Study execution</w:t>
        <w:tab/>
        <w:t>7</w:t>
      </w:r>
    </w:p>
    <w:p>
      <w:pPr>
        <w:tabs>
          <w:tab w:pos="9071" w:val="right" w:leader="dot"/>
        </w:tabs>
        <w:spacing w:after="80"/>
      </w:pPr>
      <w:r>
        <w:rPr>
          <w:rFonts w:ascii="Times New Roman" w:hAnsi="Times New Roman" w:cs="Times New Roman" w:eastAsia="Times New Roman"/>
          <w:sz w:val="22"/>
        </w:rPr>
        <w:t xml:space="preserve">    3.2   Analysis pipeline</w:t>
        <w:tab/>
        <w:t>8</w:t>
      </w:r>
    </w:p>
    <w:p>
      <w:pPr>
        <w:tabs>
          <w:tab w:pos="9071" w:val="right" w:leader="dot"/>
        </w:tabs>
        <w:spacing w:after="80"/>
      </w:pPr>
      <w:r>
        <w:rPr>
          <w:rFonts w:ascii="Times New Roman" w:hAnsi="Times New Roman" w:cs="Times New Roman" w:eastAsia="Times New Roman"/>
          <w:sz w:val="22"/>
        </w:rPr>
        <w:t xml:space="preserve">    3.3   Web application and deployment</w:t>
        <w:tab/>
        <w:t>9</w:t>
      </w:r>
    </w:p>
    <w:p>
      <w:pPr>
        <w:tabs>
          <w:tab w:pos="9071" w:val="right" w:leader="dot"/>
        </w:tabs>
        <w:spacing w:after="80"/>
      </w:pPr>
      <w:r>
        <w:rPr>
          <w:rFonts w:ascii="Times New Roman" w:hAnsi="Times New Roman" w:cs="Times New Roman" w:eastAsia="Times New Roman"/>
          <w:sz w:val="22"/>
        </w:rPr>
        <w:t xml:space="preserve">    3.4   Iterations and fixes</w:t>
        <w:tab/>
        <w:t>10</w:t>
      </w:r>
    </w:p>
    <w:p>
      <w:pPr>
        <w:tabs>
          <w:tab w:pos="9071" w:val="right" w:leader="dot"/>
        </w:tabs>
        <w:spacing w:after="80"/>
      </w:pPr>
      <w:r>
        <w:rPr>
          <w:rFonts w:ascii="Times New Roman" w:hAnsi="Times New Roman" w:cs="Times New Roman" w:eastAsia="Times New Roman"/>
          <w:sz w:val="22"/>
        </w:rPr>
        <w:t xml:space="preserve">        3.4.1   Repetition binning correction</w:t>
        <w:tab/>
        <w:t>10</w:t>
      </w:r>
    </w:p>
    <w:p>
      <w:pPr>
        <w:tabs>
          <w:tab w:pos="9071" w:val="right" w:leader="dot"/>
        </w:tabs>
        <w:spacing w:after="80"/>
      </w:pPr>
      <w:r>
        <w:rPr>
          <w:rFonts w:ascii="Times New Roman" w:hAnsi="Times New Roman" w:cs="Times New Roman" w:eastAsia="Times New Roman"/>
          <w:sz w:val="22"/>
        </w:rPr>
        <w:t xml:space="preserve">        3.4.2   Duration leakage correction</w:t>
        <w:tab/>
        <w:t>10</w:t>
      </w:r>
    </w:p>
    <w:p>
      <w:pPr>
        <w:tabs>
          <w:tab w:pos="9071" w:val="right" w:leader="dot"/>
        </w:tabs>
        <w:spacing w:after="80"/>
      </w:pPr>
      <w:r>
        <w:rPr>
          <w:rFonts w:ascii="Times New Roman" w:hAnsi="Times New Roman" w:cs="Times New Roman" w:eastAsia="Times New Roman"/>
          <w:sz w:val="22"/>
        </w:rPr>
        <w:t xml:space="preserve">        3.4.3   Posture model with RULA and QEC inputs</w:t>
        <w:tab/>
        <w:t>10</w:t>
      </w:r>
    </w:p>
    <w:p>
      <w:pPr>
        <w:tabs>
          <w:tab w:pos="9071" w:val="right" w:leader="dot"/>
        </w:tabs>
        <w:spacing w:after="80"/>
      </w:pPr>
      <w:r>
        <w:rPr>
          <w:rFonts w:ascii="Times New Roman" w:hAnsi="Times New Roman" w:cs="Times New Roman" w:eastAsia="Times New Roman"/>
          <w:b/>
          <w:sz w:val="22"/>
        </w:rPr>
        <w:t>4   RESULTS AND DISCUSSION</w:t>
        <w:tab/>
        <w:t>11</w:t>
      </w:r>
    </w:p>
    <w:p>
      <w:pPr>
        <w:tabs>
          <w:tab w:pos="9071" w:val="right" w:leader="dot"/>
        </w:tabs>
        <w:spacing w:after="80"/>
      </w:pPr>
      <w:r>
        <w:rPr>
          <w:rFonts w:ascii="Times New Roman" w:hAnsi="Times New Roman" w:cs="Times New Roman" w:eastAsia="Times New Roman"/>
          <w:sz w:val="22"/>
        </w:rPr>
        <w:t xml:space="preserve">    4.1   Sample profile</w:t>
        <w:tab/>
        <w:t>11</w:t>
      </w:r>
    </w:p>
    <w:p>
      <w:pPr>
        <w:tabs>
          <w:tab w:pos="9071" w:val="right" w:leader="dot"/>
        </w:tabs>
        <w:spacing w:after="80"/>
      </w:pPr>
      <w:r>
        <w:rPr>
          <w:rFonts w:ascii="Times New Roman" w:hAnsi="Times New Roman" w:cs="Times New Roman" w:eastAsia="Times New Roman"/>
          <w:sz w:val="22"/>
        </w:rPr>
        <w:t xml:space="preserve">    4.2   NMQ prevalence and statistical predictors</w:t>
        <w:tab/>
        <w:t>12</w:t>
      </w:r>
    </w:p>
    <w:p>
      <w:pPr>
        <w:tabs>
          <w:tab w:pos="9071" w:val="right" w:leader="dot"/>
        </w:tabs>
        <w:spacing w:after="80"/>
      </w:pPr>
      <w:r>
        <w:rPr>
          <w:rFonts w:ascii="Times New Roman" w:hAnsi="Times New Roman" w:cs="Times New Roman" w:eastAsia="Times New Roman"/>
          <w:sz w:val="22"/>
        </w:rPr>
        <w:t xml:space="preserve">    4.3   Stage-1 risk distribution</w:t>
        <w:tab/>
        <w:t>14</w:t>
      </w:r>
    </w:p>
    <w:p>
      <w:pPr>
        <w:tabs>
          <w:tab w:pos="9071" w:val="right" w:leader="dot"/>
        </w:tabs>
        <w:spacing w:after="80"/>
      </w:pPr>
      <w:r>
        <w:rPr>
          <w:rFonts w:ascii="Times New Roman" w:hAnsi="Times New Roman" w:cs="Times New Roman" w:eastAsia="Times New Roman"/>
          <w:sz w:val="22"/>
        </w:rPr>
        <w:t xml:space="preserve">    4.4   Model performance and feature importance</w:t>
        <w:tab/>
        <w:t>15</w:t>
      </w:r>
    </w:p>
    <w:p>
      <w:pPr>
        <w:tabs>
          <w:tab w:pos="9071" w:val="right" w:leader="dot"/>
        </w:tabs>
        <w:spacing w:after="80"/>
      </w:pPr>
      <w:r>
        <w:rPr>
          <w:rFonts w:ascii="Times New Roman" w:hAnsi="Times New Roman" w:cs="Times New Roman" w:eastAsia="Times New Roman"/>
          <w:sz w:val="22"/>
        </w:rPr>
        <w:t xml:space="preserve">    4.5   Web application demonstration</w:t>
        <w:tab/>
        <w:t>17</w:t>
      </w:r>
    </w:p>
    <w:p>
      <w:pPr>
        <w:tabs>
          <w:tab w:pos="9071" w:val="right" w:leader="dot"/>
        </w:tabs>
        <w:spacing w:after="80"/>
      </w:pPr>
      <w:r>
        <w:rPr>
          <w:rFonts w:ascii="Times New Roman" w:hAnsi="Times New Roman" w:cs="Times New Roman" w:eastAsia="Times New Roman"/>
          <w:b/>
          <w:sz w:val="22"/>
        </w:rPr>
        <w:t>5   CONCLUSIONS AND EXTENSIONS</w:t>
        <w:tab/>
        <w:t>18</w:t>
      </w:r>
    </w:p>
    <w:p>
      <w:pPr>
        <w:tabs>
          <w:tab w:pos="9071" w:val="right" w:leader="dot"/>
        </w:tabs>
        <w:spacing w:after="80"/>
      </w:pPr>
      <w:r>
        <w:rPr>
          <w:rFonts w:ascii="Times New Roman" w:hAnsi="Times New Roman" w:cs="Times New Roman" w:eastAsia="Times New Roman"/>
          <w:b/>
          <w:sz w:val="22"/>
        </w:rPr>
        <w:t>BIBLIOGRAPHY</w:t>
        <w:tab/>
        <w:t>19</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11</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12</w:t>
      </w:r>
    </w:p>
    <w:p>
      <w:pPr>
        <w:tabs>
          <w:tab w:pos="1701" w:val="left"/>
          <w:tab w:pos="9071" w:val="right" w:leader="dot"/>
        </w:tabs>
        <w:spacing w:after="80"/>
      </w:pPr>
      <w:r>
        <w:rPr>
          <w:rFonts w:ascii="Times New Roman" w:hAnsi="Times New Roman" w:cs="Times New Roman" w:eastAsia="Times New Roman"/>
          <w:sz w:val="22"/>
        </w:rPr>
        <w:t>Figure 4.3</w:t>
        <w:tab/>
        <w:t>Discomfort prevalence within each Low / Medium / High band.</w:t>
        <w:tab/>
        <w:t>14</w:t>
      </w:r>
    </w:p>
    <w:p>
      <w:pPr>
        <w:tabs>
          <w:tab w:pos="1701" w:val="left"/>
          <w:tab w:pos="9071" w:val="right" w:leader="dot"/>
        </w:tabs>
        <w:spacing w:after="80"/>
      </w:pPr>
      <w:r>
        <w:rPr>
          <w:rFonts w:ascii="Times New Roman" w:hAnsi="Times New Roman" w:cs="Times New Roman" w:eastAsia="Times New Roman"/>
          <w:sz w:val="22"/>
        </w:rPr>
        <w:t>Figure 4.4</w:t>
        <w:tab/>
        <w:t>Confusion matrices for the best model per factor.</w:t>
        <w:tab/>
        <w:t>16</w:t>
      </w:r>
    </w:p>
    <w:p>
      <w:pPr>
        <w:tabs>
          <w:tab w:pos="1701" w:val="left"/>
          <w:tab w:pos="9071" w:val="right" w:leader="dot"/>
        </w:tabs>
        <w:spacing w:after="80"/>
      </w:pPr>
      <w:r>
        <w:rPr>
          <w:rFonts w:ascii="Times New Roman" w:hAnsi="Times New Roman" w:cs="Times New Roman" w:eastAsia="Times New Roman"/>
          <w:sz w:val="22"/>
        </w:rPr>
        <w:t>Figure 4.5</w:t>
        <w:tab/>
        <w:t>Top 10 features by importance for the best model per factor.</w:t>
        <w:tab/>
        <w:t>16</w:t>
      </w:r>
    </w:p>
    <w:p>
      <w:pPr>
        <w:tabs>
          <w:tab w:pos="1701" w:val="left"/>
          <w:tab w:pos="9071" w:val="right" w:leader="dot"/>
        </w:tabs>
        <w:spacing w:after="80"/>
      </w:pPr>
      <w:r>
        <w:rPr>
          <w:rFonts w:ascii="Times New Roman" w:hAnsi="Times New Roman" w:cs="Times New Roman" w:eastAsia="Times New Roman"/>
          <w:sz w:val="22"/>
        </w:rPr>
        <w:t>Figure 4.6</w:t>
        <w:tab/>
        <w:t>Web app: Nordic Musculoskeletal Questionnaire section.</w:t>
        <w:tab/>
        <w:t>17</w:t>
      </w:r>
    </w:p>
    <w:p>
      <w:pPr>
        <w:tabs>
          <w:tab w:pos="1701" w:val="left"/>
          <w:tab w:pos="9071" w:val="right" w:leader="dot"/>
        </w:tabs>
        <w:spacing w:after="80"/>
      </w:pPr>
      <w:r>
        <w:rPr>
          <w:rFonts w:ascii="Times New Roman" w:hAnsi="Times New Roman" w:cs="Times New Roman" w:eastAsia="Times New Roman"/>
          <w:sz w:val="22"/>
        </w:rPr>
        <w:t>Figure 4.7</w:t>
        <w:tab/>
        <w:t>Web app: predicted risk profile output.</w:t>
        <w:tab/>
        <w:t>17</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6</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12</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13</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13</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14</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16</w:t>
      </w:r>
    </w:p>
    <w:p>
      <w:pPr>
        <w:tabs>
          <w:tab w:pos="1701" w:val="left"/>
          <w:tab w:pos="9071" w:val="right" w:leader="dot"/>
        </w:tabs>
        <w:spacing w:after="80"/>
      </w:pPr>
      <w:r>
        <w:rPr>
          <w:rFonts w:ascii="Times New Roman" w:hAnsi="Times New Roman" w:cs="Times New Roman" w:eastAsia="Times New Roman"/>
          <w:sz w:val="22"/>
        </w:rPr>
        <w:t>Table 4.7</w:t>
        <w:tab/>
        <w:t>Top 5 most important features per factor.</w:t>
        <w:tab/>
        <w:t>17</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and riders form the largest occupational group in it. They face physical demands that are qualitatively different from warehouse or manufacturing work: long distances on two-wheelers, unstable load positioning, unpredictable traffic, weather exposure, and constant algorithmic time pressure. No automated tool today lets a platform screen individual riders across all six ergonomic risk factors from a single questionnaire. Such a tool would let a platform intervene early -- shorten shifts for high-risk profiles, review equipment, refer for physiotherapy, and re-screen periodically. This project builds that tool by combining published ergonomic methods with modern classifiers into one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Baseline and tree-based ensembles</w:t>
      </w:r>
    </w:p>
    <w:p>
      <w:pPr>
        <w:spacing w:after="160" w:line="336" w:lineRule="auto"/>
        <w:jc w:val="both"/>
      </w:pPr>
      <w:r>
        <w:rPr>
          <w:rFonts w:ascii="Times New Roman" w:hAnsi="Times New Roman" w:cs="Times New Roman" w:eastAsia="Times New Roman"/>
          <w:sz w:val="22"/>
        </w:rPr>
        <w:t>Logistic Regression with L2 regularisation and class_weight='balanced' serves as the linear baseline: any tree-based method that fails to beat it on a factor is either overfitting or getting nothing from feature interactions. A single CART Decision Tree (tuned max_depth 3-10, min_samples_leaf 2-10) sits alongside as an ensembling reference. The tree-based ensembles are Random Forest (300-500 bootstrapped trees, sqrt(p) features per split, winner on Repetition, Duration, and Contact Stress), Extra Trees (fully-random splits at each node, winner on Vibration), and Histogram Gradient Boosting (sequential residual-fit with histogram-binned features, winner on Force and Posture).</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Boosting and stacking</w:t>
      </w:r>
    </w:p>
    <w:p>
      <w:pPr>
        <w:spacing w:after="160" w:line="336" w:lineRule="auto"/>
        <w:jc w:val="both"/>
      </w:pPr>
      <w:r>
        <w:rPr>
          <w:rFonts w:ascii="Times New Roman" w:hAnsi="Times New Roman" w:cs="Times New Roman" w:eastAsia="Times New Roman"/>
          <w:sz w:val="22"/>
        </w:rPr>
        <w:t>XGBoost trains gradient-boosted trees with L1 and L2 regularisation on the leaf weights and per-tree column subsampling; it placed second on several factors but did not win any because Random Forest and HistGBM absorbed the same signal at the default search budget. A Stacking Classifier meta-learner takes the out-of-fold predictions of Random Forest, Extra Trees, HistGBM, and XGBoost as inputs and fits a Logistic Regression on top; it also failed to beat the strongest base learner because the four base learners largely agreed with each other -- stacking helps when they disagree.</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Class imbalance and feature exclusions</w:t>
      </w:r>
    </w:p>
    <w:p>
      <w:pPr>
        <w:spacing w:after="160" w:line="336" w:lineRule="auto"/>
        <w:jc w:val="both"/>
      </w:pPr>
      <w:r>
        <w:rPr>
          <w:rFonts w:ascii="Times New Roman" w:hAnsi="Times New Roman" w:cs="Times New Roman" w:eastAsia="Times New Roman"/>
          <w:sz w:val="22"/>
        </w:rPr>
        <w:t>Every candidate runs inside an imblearn.Pipeline of SMOTE followed by the classifier so oversampling touches only the training folds during cross-validation. k_neighbors is set per target so it never exceeds the minority training-fold count. GridSearchCV picks hyperparameters per algorithm-target pair on macro-F1 under StratifiedKFold(5, shuffle=True, random_state=42). To prevent label leakage each target excludes the survey inputs that directly define its Stage-1 rule (Table 2.1); the Posture target additionally receives the 11 RULA components and 8 QEC scores as inputs, giving 63 features total.</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spacing w:after="160" w:line="336" w:lineRule="auto"/>
        <w:jc w:val="both"/>
      </w:pPr>
      <w:r>
        <w:rPr>
          <w:rFonts w:ascii="Times New Roman" w:hAnsi="Times New Roman" w:cs="Times New Roman" w:eastAsia="Times New Roman"/>
          <w:sz w:val="22"/>
        </w:rPr>
        <w:t>The work is organised into seven Jupyter notebooks (01 through 07) and a Streamlit application, all runnable end to end from a fixed random seed of 42.  01_data_cleaning normalises the raw survey; 02_feature_engineering encodes categoricals, derives composite scores, and merges the posture observations by severity rank; 03_risk_scoring produces the Stage-1 Low / Medium / High labels; 04_eda writes the demographics, NMQ prevalence, and risk-band figures; 05_stats runs the chi-square and logistic regression; 06_modeling runs SMOTE + GridSearchCV across seven algorithms per target; and 07_evaluation writes the confusion matrices, ROC curves, and feature-importance plots. The sections below cover the four workstreams the notebooks and the app implement.</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Study execution</w:t>
      </w:r>
    </w:p>
    <w:p>
      <w:pPr>
        <w:spacing w:after="160" w:line="336" w:lineRule="auto"/>
        <w:jc w:val="both"/>
      </w:pPr>
      <w:r>
        <w:rPr>
          <w:rFonts w:ascii="Times New Roman" w:hAnsi="Times New Roman" w:cs="Times New Roman" w:eastAsia="Times New Roman"/>
          <w:sz w:val="22"/>
        </w:rPr>
        <w:t>Two data-collection instruments were prepared before fieldwork. The self-report instrument was a 36-item Google Form structured in five modules: seventeen demographics and work-pattern items, the Nordic Musculoskeletal Questionnaire (Q18 pain across nine body areas, Q19 seven-day discomfort across four areas), five discomfort follow-ups (Q20-Q24), six NASA-TLX workload sliders on 0-100 (Q25-Q30), and six Borg CR10 perceived-exertion sliders on 0-10 (Q31-Q36).  The observation instrument was a paper form carrying the eleven RULA elements, the three RULA Table lookup scores (A, B, C), and the eight QEC region and exposure scores. Both instruments were piloted with three delivery partners outside the study region before the real fieldwork began.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using convenience sampling at platform handover points. Each participant gave verbal consent before either instrument was administered; the survey was completed on a researcher-provided phone in about 15-20 minutes, and posture was recorded on paper during a natural delivery task. Riders whose demographic or NMQ responses were incomplete after follow-up were excluded and are not part of the final 182. All data was anonymised at the point of collection.</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Analysis pipeline</w:t>
      </w:r>
    </w:p>
    <w:p>
      <w:pPr>
        <w:spacing w:after="160" w:line="336" w:lineRule="auto"/>
        <w:jc w:val="both"/>
      </w:pPr>
      <w:r>
        <w:rPr>
          <w:rFonts w:ascii="Times New Roman" w:hAnsi="Times New Roman" w:cs="Times New Roman" w:eastAsia="Times New Roman"/>
          <w:sz w:val="22"/>
        </w:rPr>
        <w:t>01_data_cleaning loaded the raw CSV, standardised text answers to canonical Yes / No, corrected column-name typos, and dropped incomplete rows, leaving 182 rows and 48 columns. 02_feature_engineering encoded ordered categorical bands (age, education, income, job duration, hours, days, deliveries, rest break) to integers preserving order, converted vehicle type and carrying mode to ranks (motorbike &gt; scooter for vibration; handheld &gt; backpack &gt; bike storage for contact), computed composite scores (workload_score, fatigue_score, force_exertion, vibration_index), and added five product-form interactions (workload x fatigue, workload x age, force x age, fatigue x job duration, deliveries x days). The posture xlsx had no rider identifiers, so a severity-rank merge paired riders and observations one-to-one by rank on discomfort score and RULA Table C respectively; the merged CSV is 182 rows by 121 columns.</w:t>
      </w:r>
    </w:p>
    <w:p>
      <w:pPr>
        <w:spacing w:after="160" w:line="336" w:lineRule="auto"/>
        <w:jc w:val="both"/>
      </w:pPr>
      <w:r>
        <w:rPr>
          <w:rFonts w:ascii="Times New Roman" w:hAnsi="Times New Roman" w:cs="Times New Roman" w:eastAsia="Times New Roman"/>
          <w:sz w:val="22"/>
        </w:rPr>
        <w:t>05_stats ran the two independent analyses on the merged CSV: six chi-square tests of independence (one per risk factor) against a binary discomfort outcome, and a multivariable logistic regression with eleven predictors reporting odds ratios and 95 percent confidence intervals. 06_modeling wrapped each of the seven candidate algorithms in an imblearn.Pipeline of SMOTE followed by the classifier and tuned it with GridSearchCV under five-fold stratified CV.  Across six targets and seven algorithms this expanded to 42 training runs; the best-by-macro-F1 model per target was refit on the full sample and saved to outputs/models/best_&lt;factor&gt;.pkl. 07_evaluation used cross_val_predict for out-of-fold predictions and produced the confusion matrices, one-vs-rest ROC curves with per-class AUCs, and feature-importance plots.</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Web application and deployment</w:t>
      </w:r>
    </w:p>
    <w:p>
      <w:pPr>
        <w:spacing w:after="160" w:line="336" w:lineRule="auto"/>
        <w:jc w:val="both"/>
      </w:pPr>
      <w:r>
        <w:rPr>
          <w:rFonts w:ascii="Times New Roman" w:hAnsi="Times New Roman" w:cs="Times New Roman" w:eastAsia="Times New Roman"/>
          <w:sz w:val="22"/>
        </w:rPr>
        <w:t>The Streamlit web application (app/streamlit_app.py) exposes the full 36-item questionnaire plus the 11 RULA components and 8 QEC scores.  Three sample-profile buttons (Low, Average, High risk) fill the entire form on click so the reviewer can trigger a prediction in one step. On submission, encode_rider assembles the 63-feature input vector, predict_risks runs each of the six saved models, and the Results page renders colour-coded level cards, a radar chart, a tabular result, a high-burden summary banner, and per-factor recommendation cards.</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requirements.txt pins every runtime dependency to the exact version the models were trained with (scikit-learn and xgboost pickles are not portable across minor versions), runtime.txt pins Python 3.13, and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3.4.1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and 55 of the 182 riders tied at that value; qcut is right-inclusive at the upper edge, so all 55 fell into Medium and Stage-2 could not predict High for the worst real schedule. Replacing qcut with fixed cuts at 2.5 and 3.75 grew the Stage-1 High count from 19 to 74; cross-validation accuracy dropped from 74 percent to 62 percent as the model started solving a real 3-class problem.</w:t>
      </w:r>
    </w:p>
    <w:p>
      <w:pPr>
        <w:pStyle w:val="Heading5"/>
        <w:keepNext/>
        <w:spacing w:before="240" w:after="80"/>
      </w:pPr>
      <w:r>
        <w:rPr>
          <w:rFonts w:ascii="Times New Roman" w:hAnsi="Times New Roman" w:cs="Times New Roman" w:eastAsia="Times New Roman"/>
          <w:b/>
          <w:color w:val="000000"/>
          <w:sz w:val="26"/>
        </w:rPr>
        <w:t xml:space="preserve">3.4.2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CV accuracy on Duration. The trees were reconstructing work_hours_num from vibration_index (which equals vehicle_rank times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3.4.3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Posture was initially trained only on the survey feature pool, so it could only infer posture indirectly from pain, fatigue, and hours. Adding the 11 RULA components and 8 QEC scores from the observation xlsx as explicit features moved Posture accuracy from 89 to 97 percent and the overfit gap from 0.088 to 0.028. The three derived RULA Table scores stayed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 and Figure 4.2 shows the same distribution visually.</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after="160" w:line="336" w:lineRule="auto"/>
        <w:jc w:val="both"/>
      </w:pPr>
      <w:r>
        <w:rPr>
          <w:rFonts w:ascii="Times New Roman" w:hAnsi="Times New Roman" w:cs="Times New Roman" w:eastAsia="Times New Roman"/>
          <w:sz w:val="22"/>
        </w:rPr>
        <w:t>Two independent statistical checks were run against a binary discomfort outcome. The chi-square test of independence identifies Posture, Repetition, and Force as the risk factors significantly associated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 Figure 4.3 shows how self-reported discomfort scales with each Stage-1 band.</w:t>
      </w:r>
    </w:p>
    <w:p>
      <w:pPr>
        <w:spacing w:before="200" w:after="80"/>
        <w:jc w:val="center"/>
      </w:pPr>
      <w:r>
        <w:drawing>
          <wp:inline xmlns:a="http://schemas.openxmlformats.org/drawingml/2006/main" xmlns:pic="http://schemas.openxmlformats.org/drawingml/2006/picture">
            <wp:extent cx="5400000" cy="2919820"/>
            <wp:docPr id="5" name="Picture 5"/>
            <wp:cNvGraphicFramePr>
              <a:graphicFrameLocks noChangeAspect="1"/>
            </wp:cNvGraphicFramePr>
            <a:graphic>
              <a:graphicData uri="http://schemas.openxmlformats.org/drawingml/2006/picture">
                <pic:pic>
                  <pic:nvPicPr>
                    <pic:cNvPr id="0" name="risk_vs_discomfort.png"/>
                    <pic:cNvPicPr/>
                  </pic:nvPicPr>
                  <pic:blipFill>
                    <a:blip r:embed="rId16"/>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within each Low / Medium / High band, per risk factor.</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Model performance and feature importance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 Per-class ROC AUCs in Table 4.6 confirm the same pattern at the class level: the minority Low band is the hardest to hit outside Posture.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6" name="Picture 6"/>
            <wp:cNvGraphicFramePr>
              <a:graphicFrameLocks noChangeAspect="1"/>
            </wp:cNvGraphicFramePr>
            <a:graphic>
              <a:graphicData uri="http://schemas.openxmlformats.org/drawingml/2006/picture">
                <pic:pic>
                  <pic:nvPicPr>
                    <pic:cNvPr id="0" name="confusion_matrices.png"/>
                    <pic:cNvPicPr/>
                  </pic:nvPicPr>
                  <pic:blipFill>
                    <a:blip r:embed="rId17"/>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4.4: Confusion matrices for the best model per factor (rows = true class, columns = predicted class).</w:t>
      </w:r>
    </w:p>
    <w:p>
      <w:pPr>
        <w:spacing w:after="160" w:line="336" w:lineRule="auto"/>
        <w:jc w:val="both"/>
      </w:pPr>
      <w:r>
        <w:rPr>
          <w:rFonts w:ascii="Times New Roman" w:hAnsi="Times New Roman" w:cs="Times New Roman" w:eastAsia="Times New Roman"/>
          <w:sz w:val="22"/>
        </w:rPr>
        <w:t>Figure 4.5 shows the top ten features per factor and Table 4.7 lists the top five ranked. The strongest signal across every survey-driven factor is a small set of composite scores -- deliveries per hour, workload x fatigue, vibration_index -- rather than raw demographic features.</w:t>
      </w:r>
    </w:p>
    <w:p>
      <w:pPr>
        <w:spacing w:before="200" w:after="80"/>
        <w:jc w:val="center"/>
      </w:pPr>
      <w:r>
        <w:drawing>
          <wp:inline xmlns:a="http://schemas.openxmlformats.org/drawingml/2006/main" xmlns:pic="http://schemas.openxmlformats.org/drawingml/2006/picture">
            <wp:extent cx="5400000" cy="3614008"/>
            <wp:docPr id="7" name="Picture 7"/>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4.5: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Top 5 most important features per factor. Force and Posture are omitted because HistGradientBoosting does not expose split-based importances directly.</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 4.6 shows a representative assessment screen (the Nordic Musculoskeletal Questionnaire section) and Figure 4.7 shows the results page after a High-risk sample profile is submitted. The header also carries three sample-profile shortcuts (Low, Average, High risk) that pre-fill the entire form in one click.</w:t>
      </w:r>
    </w:p>
    <w:p>
      <w:pPr>
        <w:spacing w:before="200" w:after="80"/>
        <w:jc w:val="center"/>
      </w:pPr>
      <w:r>
        <w:drawing>
          <wp:inline xmlns:a="http://schemas.openxmlformats.org/drawingml/2006/main" xmlns:pic="http://schemas.openxmlformats.org/drawingml/2006/picture">
            <wp:extent cx="5400000" cy="3712500"/>
            <wp:docPr id="8" name="Picture 8"/>
            <wp:cNvGraphicFramePr>
              <a:graphicFrameLocks noChangeAspect="1"/>
            </wp:cNvGraphicFramePr>
            <a:graphic>
              <a:graphicData uri="http://schemas.openxmlformats.org/drawingml/2006/picture">
                <pic:pic>
                  <pic:nvPicPr>
                    <pic:cNvPr id="0" name="web_03_assessment_nmq.png"/>
                    <pic:cNvPicPr/>
                  </pic:nvPicPr>
                  <pic:blipFill>
                    <a:blip r:embed="rId19"/>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4.6: Web app: Nordic Musculoskeletal Questionnaire section (Q18 to Q24).</w:t>
      </w:r>
    </w:p>
    <w:p>
      <w:pPr>
        <w:spacing w:before="200" w:after="80"/>
        <w:jc w:val="center"/>
      </w:pPr>
      <w:r>
        <w:drawing>
          <wp:inline xmlns:a="http://schemas.openxmlformats.org/drawingml/2006/main" xmlns:pic="http://schemas.openxmlformats.org/drawingml/2006/picture">
            <wp:extent cx="5400000" cy="3712500"/>
            <wp:docPr id="9" name="Picture 9"/>
            <wp:cNvGraphicFramePr>
              <a:graphicFrameLocks noChangeAspect="1"/>
            </wp:cNvGraphicFramePr>
            <a:graphic>
              <a:graphicData uri="http://schemas.openxmlformats.org/drawingml/2006/picture">
                <pic:pic>
                  <pic:nvPicPr>
                    <pic:cNvPr id="0" name="web_06_results.png"/>
                    <pic:cNvPicPr/>
                  </pic:nvPicPr>
                  <pic:blipFill>
                    <a:blip r:embed="rId20"/>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4.7: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