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4</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5</w:t>
      </w:r>
    </w:p>
    <w:p>
      <w:pPr>
        <w:tabs>
          <w:tab w:pos="9071" w:val="right" w:leader="dot"/>
        </w:tabs>
        <w:spacing w:after="80"/>
      </w:pPr>
      <w:r>
        <w:rPr>
          <w:rFonts w:ascii="Times New Roman" w:hAnsi="Times New Roman" w:cs="Times New Roman" w:eastAsia="Times New Roman"/>
          <w:sz w:val="22"/>
        </w:rPr>
        <w:t xml:space="preserve">    2.5   Statistical analysis</w:t>
        <w:tab/>
        <w:t>5</w:t>
      </w:r>
    </w:p>
    <w:p>
      <w:pPr>
        <w:tabs>
          <w:tab w:pos="9071" w:val="right" w:leader="dot"/>
        </w:tabs>
        <w:spacing w:after="80"/>
      </w:pPr>
      <w:r>
        <w:rPr>
          <w:rFonts w:ascii="Times New Roman" w:hAnsi="Times New Roman" w:cs="Times New Roman" w:eastAsia="Times New Roman"/>
          <w:sz w:val="22"/>
        </w:rPr>
        <w:t xml:space="preserve">    2.6   Stage 2: Machine learning pipeline</w:t>
        <w:tab/>
        <w:t>6</w:t>
      </w:r>
    </w:p>
    <w:p>
      <w:pPr>
        <w:tabs>
          <w:tab w:pos="9071" w:val="right" w:leader="dot"/>
        </w:tabs>
        <w:spacing w:after="80"/>
      </w:pPr>
      <w:r>
        <w:rPr>
          <w:rFonts w:ascii="Times New Roman" w:hAnsi="Times New Roman" w:cs="Times New Roman" w:eastAsia="Times New Roman"/>
          <w:sz w:val="22"/>
        </w:rPr>
        <w:t xml:space="preserve">        2.6.1   Logistic Regression</w:t>
        <w:tab/>
        <w:t>6</w:t>
      </w:r>
    </w:p>
    <w:p>
      <w:pPr>
        <w:tabs>
          <w:tab w:pos="9071" w:val="right" w:leader="dot"/>
        </w:tabs>
        <w:spacing w:after="80"/>
      </w:pPr>
      <w:r>
        <w:rPr>
          <w:rFonts w:ascii="Times New Roman" w:hAnsi="Times New Roman" w:cs="Times New Roman" w:eastAsia="Times New Roman"/>
          <w:sz w:val="22"/>
        </w:rPr>
        <w:t xml:space="preserve">        2.6.2   Decision Tree</w:t>
        <w:tab/>
        <w:t>6</w:t>
      </w:r>
    </w:p>
    <w:p>
      <w:pPr>
        <w:tabs>
          <w:tab w:pos="9071" w:val="right" w:leader="dot"/>
        </w:tabs>
        <w:spacing w:after="80"/>
      </w:pPr>
      <w:r>
        <w:rPr>
          <w:rFonts w:ascii="Times New Roman" w:hAnsi="Times New Roman" w:cs="Times New Roman" w:eastAsia="Times New Roman"/>
          <w:sz w:val="22"/>
        </w:rPr>
        <w:t xml:space="preserve">        2.6.3   Random Forest</w:t>
        <w:tab/>
        <w:t>6</w:t>
      </w:r>
    </w:p>
    <w:p>
      <w:pPr>
        <w:tabs>
          <w:tab w:pos="9071" w:val="right" w:leader="dot"/>
        </w:tabs>
        <w:spacing w:after="80"/>
      </w:pPr>
      <w:r>
        <w:rPr>
          <w:rFonts w:ascii="Times New Roman" w:hAnsi="Times New Roman" w:cs="Times New Roman" w:eastAsia="Times New Roman"/>
          <w:sz w:val="22"/>
        </w:rPr>
        <w:t xml:space="preserve">        2.6.4   Extra Trees</w:t>
        <w:tab/>
        <w:t>6</w:t>
      </w:r>
    </w:p>
    <w:p>
      <w:pPr>
        <w:tabs>
          <w:tab w:pos="9071" w:val="right" w:leader="dot"/>
        </w:tabs>
        <w:spacing w:after="80"/>
      </w:pPr>
      <w:r>
        <w:rPr>
          <w:rFonts w:ascii="Times New Roman" w:hAnsi="Times New Roman" w:cs="Times New Roman" w:eastAsia="Times New Roman"/>
          <w:sz w:val="22"/>
        </w:rPr>
        <w:t xml:space="preserve">        2.6.5   Histogram Gradient Boosting</w:t>
        <w:tab/>
        <w:t>7</w:t>
      </w:r>
    </w:p>
    <w:p>
      <w:pPr>
        <w:tabs>
          <w:tab w:pos="9071" w:val="right" w:leader="dot"/>
        </w:tabs>
        <w:spacing w:after="80"/>
      </w:pPr>
      <w:r>
        <w:rPr>
          <w:rFonts w:ascii="Times New Roman" w:hAnsi="Times New Roman" w:cs="Times New Roman" w:eastAsia="Times New Roman"/>
          <w:sz w:val="22"/>
        </w:rPr>
        <w:t xml:space="preserve">        2.6.6   XGBoost</w:t>
        <w:tab/>
        <w:t>7</w:t>
      </w:r>
    </w:p>
    <w:p>
      <w:pPr>
        <w:tabs>
          <w:tab w:pos="9071" w:val="right" w:leader="dot"/>
        </w:tabs>
        <w:spacing w:after="80"/>
      </w:pPr>
      <w:r>
        <w:rPr>
          <w:rFonts w:ascii="Times New Roman" w:hAnsi="Times New Roman" w:cs="Times New Roman" w:eastAsia="Times New Roman"/>
          <w:sz w:val="22"/>
        </w:rPr>
        <w:t xml:space="preserve">        2.6.7   Stacking Classifier</w:t>
        <w:tab/>
        <w:t>7</w:t>
      </w:r>
    </w:p>
    <w:p>
      <w:pPr>
        <w:tabs>
          <w:tab w:pos="9071" w:val="right" w:leader="dot"/>
        </w:tabs>
        <w:spacing w:after="80"/>
      </w:pPr>
      <w:r>
        <w:rPr>
          <w:rFonts w:ascii="Times New Roman" w:hAnsi="Times New Roman" w:cs="Times New Roman" w:eastAsia="Times New Roman"/>
          <w:sz w:val="22"/>
        </w:rPr>
        <w:t xml:space="preserve">        2.6.8   SMOTE and cross-validation</w:t>
        <w:tab/>
        <w:t>7</w:t>
      </w:r>
    </w:p>
    <w:p>
      <w:pPr>
        <w:tabs>
          <w:tab w:pos="9071" w:val="right" w:leader="dot"/>
        </w:tabs>
        <w:spacing w:after="80"/>
      </w:pPr>
      <w:r>
        <w:rPr>
          <w:rFonts w:ascii="Times New Roman" w:hAnsi="Times New Roman" w:cs="Times New Roman" w:eastAsia="Times New Roman"/>
          <w:sz w:val="22"/>
        </w:rPr>
        <w:t xml:space="preserve">        2.6.9   Per-target feature exclusions</w:t>
        <w:tab/>
        <w:t>7</w:t>
      </w:r>
    </w:p>
    <w:p>
      <w:pPr>
        <w:tabs>
          <w:tab w:pos="9071" w:val="right" w:leader="dot"/>
        </w:tabs>
        <w:spacing w:after="80"/>
      </w:pPr>
      <w:r>
        <w:rPr>
          <w:rFonts w:ascii="Times New Roman" w:hAnsi="Times New Roman" w:cs="Times New Roman" w:eastAsia="Times New Roman"/>
          <w:sz w:val="22"/>
        </w:rPr>
        <w:t xml:space="preserve">    2.7   Evaluation</w:t>
        <w:tab/>
        <w:t>7</w:t>
      </w:r>
    </w:p>
    <w:p>
      <w:pPr>
        <w:tabs>
          <w:tab w:pos="9071" w:val="right" w:leader="dot"/>
        </w:tabs>
        <w:spacing w:after="80"/>
      </w:pPr>
      <w:r>
        <w:rPr>
          <w:rFonts w:ascii="Times New Roman" w:hAnsi="Times New Roman" w:cs="Times New Roman" w:eastAsia="Times New Roman"/>
          <w:b/>
          <w:sz w:val="22"/>
        </w:rPr>
        <w:t>3   WORK DONE</w:t>
        <w:tab/>
        <w:t>8</w:t>
      </w:r>
    </w:p>
    <w:p>
      <w:pPr>
        <w:tabs>
          <w:tab w:pos="9071" w:val="right" w:leader="dot"/>
        </w:tabs>
        <w:spacing w:after="80"/>
      </w:pPr>
      <w:r>
        <w:rPr>
          <w:rFonts w:ascii="Times New Roman" w:hAnsi="Times New Roman" w:cs="Times New Roman" w:eastAsia="Times New Roman"/>
          <w:sz w:val="22"/>
        </w:rPr>
        <w:t xml:space="preserve">    3.1   Notebook pipeline</w:t>
        <w:tab/>
        <w:t>8</w:t>
      </w:r>
    </w:p>
    <w:p>
      <w:pPr>
        <w:tabs>
          <w:tab w:pos="9071" w:val="right" w:leader="dot"/>
        </w:tabs>
        <w:spacing w:after="80"/>
      </w:pPr>
      <w:r>
        <w:rPr>
          <w:rFonts w:ascii="Times New Roman" w:hAnsi="Times New Roman" w:cs="Times New Roman" w:eastAsia="Times New Roman"/>
          <w:sz w:val="22"/>
        </w:rPr>
        <w:t xml:space="preserve">    3.2   Instrument design and preparation</w:t>
        <w:tab/>
        <w:t>9</w:t>
      </w:r>
    </w:p>
    <w:p>
      <w:pPr>
        <w:tabs>
          <w:tab w:pos="9071" w:val="right" w:leader="dot"/>
        </w:tabs>
        <w:spacing w:after="80"/>
      </w:pPr>
      <w:r>
        <w:rPr>
          <w:rFonts w:ascii="Times New Roman" w:hAnsi="Times New Roman" w:cs="Times New Roman" w:eastAsia="Times New Roman"/>
          <w:sz w:val="22"/>
        </w:rPr>
        <w:t xml:space="preserve">    3.3   Data collection execution</w:t>
        <w:tab/>
        <w:t>9</w:t>
      </w:r>
    </w:p>
    <w:p>
      <w:pPr>
        <w:tabs>
          <w:tab w:pos="9071" w:val="right" w:leader="dot"/>
        </w:tabs>
        <w:spacing w:after="80"/>
      </w:pPr>
      <w:r>
        <w:rPr>
          <w:rFonts w:ascii="Times New Roman" w:hAnsi="Times New Roman" w:cs="Times New Roman" w:eastAsia="Times New Roman"/>
          <w:sz w:val="22"/>
        </w:rPr>
        <w:t xml:space="preserve">    3.4   Data cleaning, encoding, and integration</w:t>
        <w:tab/>
        <w:t>10</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11</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11</w:t>
      </w:r>
    </w:p>
    <w:p>
      <w:pPr>
        <w:tabs>
          <w:tab w:pos="9071" w:val="right" w:leader="dot"/>
        </w:tabs>
        <w:spacing w:after="80"/>
      </w:pPr>
      <w:r>
        <w:rPr>
          <w:rFonts w:ascii="Times New Roman" w:hAnsi="Times New Roman" w:cs="Times New Roman" w:eastAsia="Times New Roman"/>
          <w:sz w:val="22"/>
        </w:rPr>
        <w:t xml:space="preserve">    3.7   Iterations and fixes</w:t>
        <w:tab/>
        <w:t>12</w:t>
      </w:r>
    </w:p>
    <w:p>
      <w:pPr>
        <w:tabs>
          <w:tab w:pos="9071" w:val="right" w:leader="dot"/>
        </w:tabs>
        <w:spacing w:after="80"/>
      </w:pPr>
      <w:r>
        <w:rPr>
          <w:rFonts w:ascii="Times New Roman" w:hAnsi="Times New Roman" w:cs="Times New Roman" w:eastAsia="Times New Roman"/>
          <w:sz w:val="22"/>
        </w:rPr>
        <w:t xml:space="preserve">        3.7.1   Repetition binning correction</w:t>
        <w:tab/>
        <w:t>12</w:t>
      </w:r>
    </w:p>
    <w:p>
      <w:pPr>
        <w:tabs>
          <w:tab w:pos="9071" w:val="right" w:leader="dot"/>
        </w:tabs>
        <w:spacing w:after="80"/>
      </w:pPr>
      <w:r>
        <w:rPr>
          <w:rFonts w:ascii="Times New Roman" w:hAnsi="Times New Roman" w:cs="Times New Roman" w:eastAsia="Times New Roman"/>
          <w:sz w:val="22"/>
        </w:rPr>
        <w:t xml:space="preserve">        3.7.2   Duration leakage correction</w:t>
        <w:tab/>
        <w:t>12</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12</w:t>
      </w:r>
    </w:p>
    <w:p>
      <w:pPr>
        <w:tabs>
          <w:tab w:pos="9071" w:val="right" w:leader="dot"/>
        </w:tabs>
        <w:spacing w:after="80"/>
      </w:pPr>
      <w:r>
        <w:rPr>
          <w:rFonts w:ascii="Times New Roman" w:hAnsi="Times New Roman" w:cs="Times New Roman" w:eastAsia="Times New Roman"/>
          <w:b/>
          <w:sz w:val="22"/>
        </w:rPr>
        <w:t>4   RESULTS AND DISCUSSION</w:t>
        <w:tab/>
        <w:t>13</w:t>
      </w:r>
    </w:p>
    <w:p>
      <w:pPr>
        <w:tabs>
          <w:tab w:pos="9071" w:val="right" w:leader="dot"/>
        </w:tabs>
        <w:spacing w:after="80"/>
      </w:pPr>
      <w:r>
        <w:rPr>
          <w:rFonts w:ascii="Times New Roman" w:hAnsi="Times New Roman" w:cs="Times New Roman" w:eastAsia="Times New Roman"/>
          <w:sz w:val="22"/>
        </w:rPr>
        <w:t xml:space="preserve">    4.1   Sample profile</w:t>
        <w:tab/>
        <w:t>13</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15</w:t>
      </w:r>
    </w:p>
    <w:p>
      <w:pPr>
        <w:tabs>
          <w:tab w:pos="9071" w:val="right" w:leader="dot"/>
        </w:tabs>
        <w:spacing w:after="80"/>
      </w:pPr>
      <w:r>
        <w:rPr>
          <w:rFonts w:ascii="Times New Roman" w:hAnsi="Times New Roman" w:cs="Times New Roman" w:eastAsia="Times New Roman"/>
          <w:sz w:val="22"/>
        </w:rPr>
        <w:t xml:space="preserve">    4.3   Stage-1 risk distribution</w:t>
        <w:tab/>
        <w:t>17</w:t>
      </w:r>
    </w:p>
    <w:p>
      <w:pPr>
        <w:tabs>
          <w:tab w:pos="9071" w:val="right" w:leader="dot"/>
        </w:tabs>
        <w:spacing w:after="80"/>
      </w:pPr>
      <w:r>
        <w:rPr>
          <w:rFonts w:ascii="Times New Roman" w:hAnsi="Times New Roman" w:cs="Times New Roman" w:eastAsia="Times New Roman"/>
          <w:sz w:val="22"/>
        </w:rPr>
        <w:t xml:space="preserve">    4.4   Stage-2 model performance</w:t>
        <w:tab/>
        <w:t>19</w:t>
      </w:r>
    </w:p>
    <w:p>
      <w:pPr>
        <w:tabs>
          <w:tab w:pos="9071" w:val="right" w:leader="dot"/>
        </w:tabs>
        <w:spacing w:after="80"/>
      </w:pPr>
      <w:r>
        <w:rPr>
          <w:rFonts w:ascii="Times New Roman" w:hAnsi="Times New Roman" w:cs="Times New Roman" w:eastAsia="Times New Roman"/>
          <w:sz w:val="22"/>
        </w:rPr>
        <w:t xml:space="preserve">    4.5   Per-class metrics and feature importance</w:t>
        <w:tab/>
        <w:t>21</w:t>
      </w:r>
    </w:p>
    <w:p>
      <w:pPr>
        <w:tabs>
          <w:tab w:pos="9071" w:val="right" w:leader="dot"/>
        </w:tabs>
        <w:spacing w:after="80"/>
      </w:pPr>
      <w:r>
        <w:rPr>
          <w:rFonts w:ascii="Times New Roman" w:hAnsi="Times New Roman" w:cs="Times New Roman" w:eastAsia="Times New Roman"/>
          <w:sz w:val="22"/>
        </w:rPr>
        <w:t xml:space="preserve">    4.6   Web application demonstration</w:t>
        <w:tab/>
        <w:t>22</w:t>
      </w:r>
    </w:p>
    <w:p>
      <w:pPr>
        <w:tabs>
          <w:tab w:pos="9071" w:val="right" w:leader="dot"/>
        </w:tabs>
        <w:spacing w:after="80"/>
      </w:pPr>
      <w:r>
        <w:rPr>
          <w:rFonts w:ascii="Times New Roman" w:hAnsi="Times New Roman" w:cs="Times New Roman" w:eastAsia="Times New Roman"/>
          <w:b/>
          <w:sz w:val="22"/>
        </w:rPr>
        <w:t>5   CONCLUSIONS AND EXTENSIONS</w:t>
        <w:tab/>
        <w:t>25</w:t>
      </w:r>
    </w:p>
    <w:p>
      <w:pPr>
        <w:tabs>
          <w:tab w:pos="9071" w:val="right" w:leader="dot"/>
        </w:tabs>
        <w:spacing w:after="80"/>
      </w:pPr>
      <w:r>
        <w:rPr>
          <w:rFonts w:ascii="Times New Roman" w:hAnsi="Times New Roman" w:cs="Times New Roman" w:eastAsia="Times New Roman"/>
          <w:b/>
          <w:sz w:val="22"/>
        </w:rPr>
        <w:t>BIBLIOGRAPHY</w:t>
        <w:tab/>
        <w:t>27</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14</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16</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17</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18</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18</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21</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22</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23</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23</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24</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24</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7</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15</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16</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17</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19</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20</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21</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21</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80" w:after="40"/>
        <w:jc w:val="center"/>
      </w:pPr>
      <w:r>
        <w:drawing>
          <wp:inline xmlns:a="http://schemas.openxmlformats.org/drawingml/2006/main" xmlns:pic="http://schemas.openxmlformats.org/drawingml/2006/picture">
            <wp:extent cx="3960000" cy="1457069"/>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960000" cy="1457069"/>
                    </a:xfrm>
                    <a:prstGeom prst="rect"/>
                  </pic:spPr>
                </pic:pic>
              </a:graphicData>
            </a:graphic>
          </wp:inline>
        </w:drawing>
      </w:r>
    </w:p>
    <w:p>
      <w:pPr>
        <w:spacing w:before="0" w:after="120"/>
        <w:jc w:val="center"/>
      </w:pPr>
      <w:r>
        <w:rPr>
          <w:rFonts w:ascii="Times New Roman" w:hAnsi="Times New Roman" w:cs="Times New Roman" w:eastAsia="Times New Roman"/>
          <w:i/>
          <w:sz w:val="18"/>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80" w:after="40"/>
        <w:jc w:val="center"/>
      </w:pPr>
      <w:r>
        <w:drawing>
          <wp:inline xmlns:a="http://schemas.openxmlformats.org/drawingml/2006/main" xmlns:pic="http://schemas.openxmlformats.org/drawingml/2006/picture">
            <wp:extent cx="3960000" cy="2096732"/>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960000" cy="2096732"/>
                    </a:xfrm>
                    <a:prstGeom prst="rect"/>
                  </pic:spPr>
                </pic:pic>
              </a:graphicData>
            </a:graphic>
          </wp:inline>
        </w:drawing>
      </w:r>
    </w:p>
    <w:p>
      <w:pPr>
        <w:spacing w:before="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80" w:after="40"/>
        <w:jc w:val="center"/>
      </w:pPr>
      <w:r>
        <w:drawing>
          <wp:inline xmlns:a="http://schemas.openxmlformats.org/drawingml/2006/main" xmlns:pic="http://schemas.openxmlformats.org/drawingml/2006/picture">
            <wp:extent cx="3960000" cy="2178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960000" cy="2178000"/>
                    </a:xfrm>
                    <a:prstGeom prst="rect"/>
                  </pic:spPr>
                </pic:pic>
              </a:graphicData>
            </a:graphic>
          </wp:inline>
        </w:drawing>
      </w:r>
    </w:p>
    <w:p>
      <w:pPr>
        <w:spacing w:before="0" w:after="120"/>
        <w:jc w:val="center"/>
      </w:pPr>
      <w:r>
        <w:rPr>
          <w:rFonts w:ascii="Times New Roman" w:hAnsi="Times New Roman" w:cs="Times New Roman" w:eastAsia="Times New Roman"/>
          <w:i/>
          <w:sz w:val="18"/>
        </w:rPr>
        <w:t>Figure 4.2: NMQ 12-month pain prevalence per body area.</w:t>
      </w:r>
    </w:p>
    <w:p>
      <w:pPr>
        <w:spacing w:before="80" w:after="40"/>
        <w:jc w:val="center"/>
      </w:pPr>
      <w:r>
        <w:drawing>
          <wp:inline xmlns:a="http://schemas.openxmlformats.org/drawingml/2006/main" xmlns:pic="http://schemas.openxmlformats.org/drawingml/2006/picture">
            <wp:extent cx="3960000" cy="2074811"/>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960000" cy="2074811"/>
                    </a:xfrm>
                    <a:prstGeom prst="rect"/>
                  </pic:spPr>
                </pic:pic>
              </a:graphicData>
            </a:graphic>
          </wp:inline>
        </w:drawing>
      </w:r>
    </w:p>
    <w:p>
      <w:pPr>
        <w:spacing w:before="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80" w:after="40"/>
        <w:jc w:val="center"/>
      </w:pPr>
      <w:r>
        <w:drawing>
          <wp:inline xmlns:a="http://schemas.openxmlformats.org/drawingml/2006/main" xmlns:pic="http://schemas.openxmlformats.org/drawingml/2006/picture">
            <wp:extent cx="3960000" cy="1771499"/>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3960000" cy="1771499"/>
                    </a:xfrm>
                    <a:prstGeom prst="rect"/>
                  </pic:spPr>
                </pic:pic>
              </a:graphicData>
            </a:graphic>
          </wp:inline>
        </w:drawing>
      </w:r>
    </w:p>
    <w:p>
      <w:pPr>
        <w:spacing w:before="0" w:after="120"/>
        <w:jc w:val="center"/>
      </w:pPr>
      <w:r>
        <w:rPr>
          <w:rFonts w:ascii="Times New Roman" w:hAnsi="Times New Roman" w:cs="Times New Roman" w:eastAsia="Times New Roman"/>
          <w:i/>
          <w:sz w:val="18"/>
        </w:rPr>
        <w:t>Figure 4.4: Stage-1 Low / Medium / High counts per risk factor.</w:t>
      </w:r>
    </w:p>
    <w:p>
      <w:pPr>
        <w:spacing w:before="80" w:after="40"/>
        <w:jc w:val="center"/>
      </w:pPr>
      <w:r>
        <w:drawing>
          <wp:inline xmlns:a="http://schemas.openxmlformats.org/drawingml/2006/main" xmlns:pic="http://schemas.openxmlformats.org/drawingml/2006/picture">
            <wp:extent cx="3960000" cy="2141202"/>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3960000" cy="2141202"/>
                    </a:xfrm>
                    <a:prstGeom prst="rect"/>
                  </pic:spPr>
                </pic:pic>
              </a:graphicData>
            </a:graphic>
          </wp:inline>
        </w:drawing>
      </w:r>
    </w:p>
    <w:p>
      <w:pPr>
        <w:spacing w:before="0" w:after="120"/>
        <w:jc w:val="center"/>
      </w:pPr>
      <w:r>
        <w:rPr>
          <w:rFonts w:ascii="Times New Roman" w:hAnsi="Times New Roman" w:cs="Times New Roman" w:eastAsia="Times New Roman"/>
          <w:i/>
          <w:sz w:val="18"/>
        </w:rPr>
        <w:t>Figure 4.5: Discomfort prevalence within each Low / Medium / High band, per risk factor.</w:t>
      </w:r>
    </w:p>
    <w:p>
      <w:pPr>
        <w:spacing w:before="80" w:after="40"/>
        <w:jc w:val="center"/>
      </w:pPr>
      <w:r>
        <w:drawing>
          <wp:inline xmlns:a="http://schemas.openxmlformats.org/drawingml/2006/main" xmlns:pic="http://schemas.openxmlformats.org/drawingml/2006/picture">
            <wp:extent cx="3960000" cy="358063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3960000" cy="3580639"/>
                    </a:xfrm>
                    <a:prstGeom prst="rect"/>
                  </pic:spPr>
                </pic:pic>
              </a:graphicData>
            </a:graphic>
          </wp:inline>
        </w:drawing>
      </w:r>
    </w:p>
    <w:p>
      <w:pPr>
        <w:spacing w:before="0" w:after="120"/>
        <w:jc w:val="center"/>
      </w:pPr>
      <w:r>
        <w:rPr>
          <w:rFonts w:ascii="Times New Roman" w:hAnsi="Times New Roman" w:cs="Times New Roman" w:eastAsia="Times New Roman"/>
          <w:i/>
          <w:sz w:val="18"/>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80" w:after="40"/>
        <w:jc w:val="center"/>
      </w:pPr>
      <w:r>
        <w:drawing>
          <wp:inline xmlns:a="http://schemas.openxmlformats.org/drawingml/2006/main" xmlns:pic="http://schemas.openxmlformats.org/drawingml/2006/picture">
            <wp:extent cx="3960000" cy="2407538"/>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3960000" cy="2407538"/>
                    </a:xfrm>
                    <a:prstGeom prst="rect"/>
                  </pic:spPr>
                </pic:pic>
              </a:graphicData>
            </a:graphic>
          </wp:inline>
        </w:drawing>
      </w:r>
    </w:p>
    <w:p>
      <w:pPr>
        <w:spacing w:before="0" w:after="120"/>
        <w:jc w:val="center"/>
      </w:pPr>
      <w:r>
        <w:rPr>
          <w:rFonts w:ascii="Times New Roman" w:hAnsi="Times New Roman" w:cs="Times New Roman" w:eastAsia="Times New Roman"/>
          <w:i/>
          <w:sz w:val="18"/>
        </w:rPr>
        <w:t>Figure 4.7: Confusion matrices for the best model per factor (rows = true class, columns = predicted class).</w:t>
      </w:r>
    </w:p>
    <w:p>
      <w:pPr>
        <w:spacing w:before="80" w:after="40"/>
        <w:jc w:val="center"/>
      </w:pPr>
      <w:r>
        <w:drawing>
          <wp:inline xmlns:a="http://schemas.openxmlformats.org/drawingml/2006/main" xmlns:pic="http://schemas.openxmlformats.org/drawingml/2006/picture">
            <wp:extent cx="3960000" cy="2410241"/>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3960000" cy="2410241"/>
                    </a:xfrm>
                    <a:prstGeom prst="rect"/>
                  </pic:spPr>
                </pic:pic>
              </a:graphicData>
            </a:graphic>
          </wp:inline>
        </w:drawing>
      </w:r>
    </w:p>
    <w:p>
      <w:pPr>
        <w:spacing w:before="0" w:after="120"/>
        <w:jc w:val="center"/>
      </w:pPr>
      <w:r>
        <w:rPr>
          <w:rFonts w:ascii="Times New Roman" w:hAnsi="Times New Roman" w:cs="Times New Roman" w:eastAsia="Times New Roman"/>
          <w:i/>
          <w:sz w:val="18"/>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80" w:after="40"/>
        <w:jc w:val="center"/>
      </w:pPr>
      <w:r>
        <w:drawing>
          <wp:inline xmlns:a="http://schemas.openxmlformats.org/drawingml/2006/main" xmlns:pic="http://schemas.openxmlformats.org/drawingml/2006/picture">
            <wp:extent cx="3960000" cy="2650272"/>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3960000" cy="2650272"/>
                    </a:xfrm>
                    <a:prstGeom prst="rect"/>
                  </pic:spPr>
                </pic:pic>
              </a:graphicData>
            </a:graphic>
          </wp:inline>
        </w:drawing>
      </w:r>
    </w:p>
    <w:p>
      <w:pPr>
        <w:spacing w:before="0" w:after="120"/>
        <w:jc w:val="center"/>
      </w:pPr>
      <w:r>
        <w:rPr>
          <w:rFonts w:ascii="Times New Roman" w:hAnsi="Times New Roman" w:cs="Times New Roman" w:eastAsia="Times New Roman"/>
          <w:i/>
          <w:sz w:val="18"/>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80" w:after="40"/>
        <w:jc w:val="center"/>
      </w:pPr>
      <w:r>
        <w:drawing>
          <wp:inline xmlns:a="http://schemas.openxmlformats.org/drawingml/2006/main" xmlns:pic="http://schemas.openxmlformats.org/drawingml/2006/picture">
            <wp:extent cx="3960000" cy="272250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3960000" cy="2722500"/>
                    </a:xfrm>
                    <a:prstGeom prst="rect"/>
                  </pic:spPr>
                </pic:pic>
              </a:graphicData>
            </a:graphic>
          </wp:inline>
        </w:drawing>
      </w:r>
    </w:p>
    <w:p>
      <w:pPr>
        <w:spacing w:before="0" w:after="120"/>
        <w:jc w:val="center"/>
      </w:pPr>
      <w:r>
        <w:rPr>
          <w:rFonts w:ascii="Times New Roman" w:hAnsi="Times New Roman" w:cs="Times New Roman" w:eastAsia="Times New Roman"/>
          <w:i/>
          <w:sz w:val="18"/>
        </w:rPr>
        <w:t>Figure 4.10: Web app: sample-profile shortcuts and demographic section (Q1 to Q17).</w:t>
      </w:r>
    </w:p>
    <w:p>
      <w:pPr>
        <w:spacing w:before="80" w:after="40"/>
        <w:jc w:val="center"/>
      </w:pPr>
      <w:r>
        <w:drawing>
          <wp:inline xmlns:a="http://schemas.openxmlformats.org/drawingml/2006/main" xmlns:pic="http://schemas.openxmlformats.org/drawingml/2006/picture">
            <wp:extent cx="3960000" cy="272250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3960000" cy="2722500"/>
                    </a:xfrm>
                    <a:prstGeom prst="rect"/>
                  </pic:spPr>
                </pic:pic>
              </a:graphicData>
            </a:graphic>
          </wp:inline>
        </w:drawing>
      </w:r>
    </w:p>
    <w:p>
      <w:pPr>
        <w:spacing w:before="0" w:after="120"/>
        <w:jc w:val="center"/>
      </w:pPr>
      <w:r>
        <w:rPr>
          <w:rFonts w:ascii="Times New Roman" w:hAnsi="Times New Roman" w:cs="Times New Roman" w:eastAsia="Times New Roman"/>
          <w:i/>
          <w:sz w:val="18"/>
        </w:rPr>
        <w:t>Figure 4.11: Web app: Nordic Musculoskeletal Questionnaire section (Q18 to Q24).</w:t>
      </w:r>
    </w:p>
    <w:p>
      <w:pPr>
        <w:spacing w:before="80" w:after="40"/>
        <w:jc w:val="center"/>
      </w:pPr>
      <w:r>
        <w:drawing>
          <wp:inline xmlns:a="http://schemas.openxmlformats.org/drawingml/2006/main" xmlns:pic="http://schemas.openxmlformats.org/drawingml/2006/picture">
            <wp:extent cx="3960000" cy="272250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3960000" cy="2722500"/>
                    </a:xfrm>
                    <a:prstGeom prst="rect"/>
                  </pic:spPr>
                </pic:pic>
              </a:graphicData>
            </a:graphic>
          </wp:inline>
        </w:drawing>
      </w:r>
    </w:p>
    <w:p>
      <w:pPr>
        <w:spacing w:before="0" w:after="120"/>
        <w:jc w:val="center"/>
      </w:pPr>
      <w:r>
        <w:rPr>
          <w:rFonts w:ascii="Times New Roman" w:hAnsi="Times New Roman" w:cs="Times New Roman" w:eastAsia="Times New Roman"/>
          <w:i/>
          <w:sz w:val="18"/>
        </w:rPr>
        <w:t>Figure 4.12: Web app: NASA-TLX and Borg CR10 sliders (Q25 to Q36).</w:t>
      </w:r>
    </w:p>
    <w:p>
      <w:pPr>
        <w:spacing w:before="80" w:after="40"/>
        <w:jc w:val="center"/>
      </w:pPr>
      <w:r>
        <w:drawing>
          <wp:inline xmlns:a="http://schemas.openxmlformats.org/drawingml/2006/main" xmlns:pic="http://schemas.openxmlformats.org/drawingml/2006/picture">
            <wp:extent cx="3960000" cy="272250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3960000" cy="2722500"/>
                    </a:xfrm>
                    <a:prstGeom prst="rect"/>
                  </pic:spPr>
                </pic:pic>
              </a:graphicData>
            </a:graphic>
          </wp:inline>
        </w:drawing>
      </w:r>
    </w:p>
    <w:p>
      <w:pPr>
        <w:spacing w:before="0" w:after="120"/>
        <w:jc w:val="center"/>
      </w:pPr>
      <w:r>
        <w:rPr>
          <w:rFonts w:ascii="Times New Roman" w:hAnsi="Times New Roman" w:cs="Times New Roman" w:eastAsia="Times New Roman"/>
          <w:i/>
          <w:sz w:val="18"/>
        </w:rPr>
        <w:t>Figure 4.13: Web app: RULA (11 items) and QEC (8 scores) observation sections above the Predict button.</w:t>
      </w:r>
    </w:p>
    <w:p>
      <w:pPr>
        <w:spacing w:before="80" w:after="40"/>
        <w:jc w:val="center"/>
      </w:pPr>
      <w:r>
        <w:drawing>
          <wp:inline xmlns:a="http://schemas.openxmlformats.org/drawingml/2006/main" xmlns:pic="http://schemas.openxmlformats.org/drawingml/2006/picture">
            <wp:extent cx="3960000" cy="272250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3960000" cy="2722500"/>
                    </a:xfrm>
                    <a:prstGeom prst="rect"/>
                  </pic:spPr>
                </pic:pic>
              </a:graphicData>
            </a:graphic>
          </wp:inline>
        </w:drawing>
      </w:r>
    </w:p>
    <w:p>
      <w:pPr>
        <w:spacing w:before="0" w:after="120"/>
        <w:jc w:val="center"/>
      </w:pPr>
      <w:r>
        <w:rPr>
          <w:rFonts w:ascii="Times New Roman" w:hAnsi="Times New Roman" w:cs="Times New Roman" w:eastAsia="Times New Roman"/>
          <w:i/>
          <w:sz w:val="18"/>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