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1613B1AF" w14:textId="77777777" w:rsidR="00BF1F9D" w:rsidRDefault="00000000">
      <w:pPr>
        <w:spacing w:after="160" w:line="336" w:lineRule="auto"/>
        <w:jc w:val="both"/>
      </w:pPr>
      <w:r>
        <w:rPr>
          <w:rFonts w:eastAsia="Times New Roman" w:cs="Times New Roman"/>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12</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14</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15</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16</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13</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14</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16</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16</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17</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12</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14</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15</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16</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17</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Prior Indian last-mile MSK studies [1, 2] report similar exposure patterns among app-based delivery riders.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Implement the pipeline reproducibly in Python (Jupyter notebooks, scikit-learn, XGBoost, imbalanced-learn, statsmodels)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Deploy the trained models behind a Streamlit web application that accepts the full 36-item questionnaire plus the 11 RULA components and 8 QEC scores, and returns the six colour-coded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Vibration: vibration_index binned by sample tercile.</w:t>
      </w:r>
    </w:p>
    <w:p w14:paraId="09FFC0AD" w14:textId="77777777" w:rsidR="00BF1F9D" w:rsidRDefault="00000000">
      <w:pPr>
        <w:pStyle w:val="ListBullet"/>
        <w:spacing w:after="60"/>
      </w:pPr>
      <w:r>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Single CART tree with max_depth in {3, 5, 7} and min_samples_leaf in {1, 3, 5} tuned via grid search.  Included as the ensembling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Like Random Forest but with fully random splits per node.  The extra randomisation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B07492D" w14:textId="77777777" w:rsidR="00BF1F9D" w:rsidRDefault="00000000">
      <w:pPr>
        <w:spacing w:after="160" w:line="336" w:lineRule="auto"/>
        <w:jc w:val="both"/>
      </w:pPr>
      <w:r>
        <w:rPr>
          <w:rFonts w:eastAsia="Times New Roman" w:cs="Times New Roman"/>
        </w:rPr>
        <w:t>Gradient-boosted trees with L2 regularisation on the leaf weights.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Meta-learner taking the out-of-fold predictions of Random Forest, Extra Trees, HistGBM, and XGBoost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Each target excludes the survey inputs that directly define its Stage-1 label (otherwise the model would memorise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01_data_cleaning normalises the raw CSV and validates row counts.</w:t>
      </w:r>
    </w:p>
    <w:p w14:paraId="69FC99E0" w14:textId="77777777" w:rsidR="00BF1F9D" w:rsidRDefault="00000000">
      <w:pPr>
        <w:pStyle w:val="ListBullet"/>
        <w:spacing w:after="60"/>
      </w:pPr>
      <w:r>
        <w:rPr>
          <w:rFonts w:eastAsia="Times New Roman" w:cs="Times New Roman"/>
        </w:rPr>
        <w:t>02_feature_engineering encodes categoricals,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06_modeling runs SMOTE plus GridSearchCV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NASA-TLX performance item is worded as satisfaction (higher = better performance), so at analysis time it is reversed to 100 minus the raw value; the workload composite is then the unweighted mean of the six items (Raw TLX).</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expandable JSON view of the exact 63 feature values that were fed to the models. The app also has a Methodology page that summarises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Repetition, and Force as the three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0.635</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0.611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0.638</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0.649</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0.929</w:t>
            </w:r>
          </w:p>
        </w:tc>
        <w:tc>
          <w:tcPr>
            <w:tcW w:w="1247" w:type="dxa"/>
          </w:tcPr>
          <w:p w14:paraId="18C956FE" w14:textId="77777777" w:rsidR="00BF1F9D" w:rsidRDefault="00000000">
            <w:pPr>
              <w:spacing w:before="20" w:after="20"/>
            </w:pPr>
            <w:r>
              <w:rPr>
                <w:rFonts w:eastAsia="Times New Roman" w:cs="Times New Roman"/>
                <w:sz w:val="20"/>
              </w:rPr>
              <w:t>0.897</w:t>
            </w:r>
          </w:p>
        </w:tc>
        <w:tc>
          <w:tcPr>
            <w:tcW w:w="1134" w:type="dxa"/>
          </w:tcPr>
          <w:p w14:paraId="7F1B1FB8" w14:textId="77777777" w:rsidR="00BF1F9D" w:rsidRDefault="00000000">
            <w:pPr>
              <w:spacing w:before="20" w:after="20"/>
            </w:pPr>
            <w:r>
              <w:rPr>
                <w:rFonts w:eastAsia="Times New Roman" w:cs="Times New Roman"/>
                <w:sz w:val="20"/>
              </w:rPr>
              <w:t>0.912</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0.981</w:t>
            </w:r>
          </w:p>
        </w:tc>
        <w:tc>
          <w:tcPr>
            <w:tcW w:w="1247" w:type="dxa"/>
          </w:tcPr>
          <w:p w14:paraId="29DCF44D" w14:textId="77777777" w:rsidR="00BF1F9D" w:rsidRDefault="00000000">
            <w:pPr>
              <w:spacing w:before="20" w:after="20"/>
            </w:pPr>
            <w:r>
              <w:rPr>
                <w:rFonts w:eastAsia="Times New Roman" w:cs="Times New Roman"/>
                <w:sz w:val="20"/>
              </w:rPr>
              <w:t>0.987</w:t>
            </w:r>
          </w:p>
        </w:tc>
        <w:tc>
          <w:tcPr>
            <w:tcW w:w="1134" w:type="dxa"/>
          </w:tcPr>
          <w:p w14:paraId="1C94E9B1" w14:textId="77777777" w:rsidR="00BF1F9D" w:rsidRDefault="00000000">
            <w:pPr>
              <w:spacing w:before="20" w:after="20"/>
            </w:pPr>
            <w:r>
              <w:rPr>
                <w:rFonts w:eastAsia="Times New Roman" w:cs="Times New Roman"/>
                <w:sz w:val="20"/>
              </w:rPr>
              <w:t>0.984</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grand score 5 or above, corresponding to action level 3 or 4);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[1] Benson TM, Sathiyarajeswaran NS, Radhakrishnan R, Gafoor AA, Krupalakshme M, Samal J (2025). Factors and prevalence of musculoskeletal pain among the app-based food delivery riders in Tamil Nadu: a community-based cross-sectional study. Cureus, 17(3), e56132.</w:t>
      </w:r>
    </w:p>
    <w:p w14:paraId="54496E27" w14:textId="77777777" w:rsidR="00BF1F9D" w:rsidRDefault="00000000">
      <w:pPr>
        <w:spacing w:after="160"/>
        <w:ind w:left="454" w:hanging="454"/>
        <w:jc w:val="both"/>
      </w:pPr>
      <w:r>
        <w:t>[2] Pandit S, Adhikari P (2023). Ergonomics Issues Among Last Mile Delivery Riders in Jabalpur, India. Springer Ergonomics Proceedings, 209-215.</w:t>
      </w:r>
    </w:p>
    <w:p w14:paraId="2013A04B" w14:textId="77777777" w:rsidR="00BF1F9D" w:rsidRDefault="00000000">
      <w:pPr>
        <w:spacing w:after="160"/>
        <w:ind w:left="454" w:hanging="454"/>
        <w:jc w:val="both"/>
      </w:pPr>
      <w:r>
        <w:t>[3] McAtamney L, Corlett EN (1993). RULA: a survey method for the investigation of work-related upper limb disorders. Applied Ergonomics, 24(2), 91-99.</w:t>
      </w:r>
    </w:p>
    <w:p w14:paraId="2BF913B8" w14:textId="77777777" w:rsidR="00BF1F9D" w:rsidRDefault="00000000">
      <w:pPr>
        <w:spacing w:after="160"/>
        <w:ind w:left="454" w:hanging="454"/>
        <w:jc w:val="both"/>
      </w:pPr>
      <w:r>
        <w:t>[4] David G, Woods V, Li G, Buckle P (2008). The development of the Quick Exposure Check (QEC) for assessing exposure to risk factors for work-related musculoskeletal disorders. Applied Ergonomics, 39(1), 57-69.</w:t>
      </w:r>
    </w:p>
    <w:p w14:paraId="0D7655B6" w14:textId="77777777" w:rsidR="00BF1F9D" w:rsidRDefault="00000000">
      <w:pPr>
        <w:spacing w:after="160"/>
        <w:ind w:left="454" w:hanging="454"/>
        <w:jc w:val="both"/>
      </w:pPr>
      <w:r>
        <w:t>[5] Kuorinka I, Jonsson B, Kilbom A, Vinterberg H, Biering-Sorensen F, Andersson G, Jorgensen K (1987). Standardised Nordic questionnaires for the analysis of musculoskeletal symptoms. Applied Ergonomics, 18(3), 233-237.</w:t>
      </w:r>
    </w:p>
    <w:p w14:paraId="0FC2CEC2" w14:textId="77777777" w:rsidR="00BF1F9D" w:rsidRDefault="00000000">
      <w:pPr>
        <w:spacing w:after="160"/>
        <w:ind w:left="454" w:hanging="454"/>
        <w:jc w:val="both"/>
      </w:pPr>
      <w:r>
        <w:t>[6] Hart SG, Staveland LE (1988). Development of NASA-TLX (Task Load Index): Results of empirical and theoretical research. Advances in Psychology, 52, 139-183.</w:t>
      </w:r>
    </w:p>
    <w:p w14:paraId="3F829F53" w14:textId="77777777" w:rsidR="00BF1F9D" w:rsidRDefault="00000000">
      <w:pPr>
        <w:spacing w:after="160"/>
        <w:ind w:left="454" w:hanging="454"/>
        <w:jc w:val="both"/>
      </w:pPr>
      <w:r>
        <w:t>[7] Borg G (1998). Borg's Perceived Exertion and Pain Scales. Human Kinetics Publishers, Champaign, Illinois.</w:t>
      </w:r>
    </w:p>
    <w:p w14:paraId="11270B7F" w14:textId="77777777" w:rsidR="00BF1F9D" w:rsidRDefault="00000000">
      <w:pPr>
        <w:spacing w:after="160"/>
        <w:ind w:left="454" w:hanging="454"/>
        <w:jc w:val="both"/>
      </w:pPr>
      <w:r>
        <w:t>[8] Chawla NV, Bowyer KW, Hall LO, Kegelmeyer WP (2002). SMOTE: Synthetic Minority Over-sampling Technique. Journal of Artificial Intelligence Research, 16, 321-357.</w:t>
      </w:r>
    </w:p>
    <w:p w14:paraId="21F0C089" w14:textId="77777777" w:rsidR="00BF1F9D" w:rsidRDefault="00000000">
      <w:pPr>
        <w:spacing w:after="160"/>
        <w:ind w:left="454" w:hanging="454"/>
        <w:jc w:val="both"/>
      </w:pPr>
      <w:r>
        <w:t>[9] Lemaitre G, Nogueira F, Aridas CK (2017). Imbalanced-learn: A Python Toolbox to Tackle the Curse of Imbalanced Datasets in Machine Learning. Journal of Machine Learning Research, 18(17), 1-5.</w:t>
      </w:r>
    </w:p>
    <w:p w14:paraId="2C17007E" w14:textId="77777777" w:rsidR="00BF1F9D" w:rsidRDefault="00000000">
      <w:pPr>
        <w:spacing w:after="160"/>
        <w:ind w:left="454" w:hanging="454"/>
        <w:jc w:val="both"/>
      </w:pPr>
      <w:r>
        <w:t>[10] Breiman L (2001). Random Forests. Machine Learning, 45(1), 5-32.</w:t>
      </w:r>
    </w:p>
    <w:p w14:paraId="097AA882" w14:textId="77777777" w:rsidR="00BF1F9D" w:rsidRDefault="00000000">
      <w:pPr>
        <w:spacing w:after="160"/>
        <w:ind w:left="454" w:hanging="454"/>
        <w:jc w:val="both"/>
      </w:pPr>
      <w:r>
        <w:t>[11] Geurts P, Ernst D, Wehenkel L (2006). Extremely randomized trees. Machine Learning, 63(1), 3-42.</w:t>
      </w:r>
    </w:p>
    <w:p w14:paraId="419F48AF" w14:textId="77777777" w:rsidR="00BF1F9D" w:rsidRDefault="00000000">
      <w:pPr>
        <w:spacing w:after="160"/>
        <w:ind w:left="454" w:hanging="454"/>
        <w:jc w:val="both"/>
      </w:pPr>
      <w:r>
        <w:t>[12] Chen T, Guestrin C (2016). XGBoost: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[14] Pedregosa F, Varoquaux G, Gramfort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8CE57" w14:textId="77777777" w:rsidR="00CA5B96" w:rsidRDefault="00CA5B96">
      <w:pPr>
        <w:spacing w:after="0" w:line="240" w:lineRule="auto"/>
      </w:pPr>
      <w:r>
        <w:separator/>
      </w:r>
    </w:p>
  </w:endnote>
  <w:endnote w:type="continuationSeparator" w:id="0">
    <w:p w14:paraId="290018DF" w14:textId="77777777" w:rsidR="00CA5B96" w:rsidRDefault="00CA5B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F9B2" w14:textId="77777777" w:rsidR="00CA5B96" w:rsidRDefault="00CA5B96">
      <w:pPr>
        <w:spacing w:after="0" w:line="240" w:lineRule="auto"/>
      </w:pPr>
      <w:r>
        <w:separator/>
      </w:r>
    </w:p>
  </w:footnote>
  <w:footnote w:type="continuationSeparator" w:id="0">
    <w:p w14:paraId="60B394C2" w14:textId="77777777" w:rsidR="00CA5B96" w:rsidRDefault="00CA5B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D267E40"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6827D3">
      <w:rPr>
        <w:rFonts w:eastAsia="Times New Roman" w:cs="Times New Roman"/>
        <w:b/>
        <w:noProof/>
        <w:sz w:val="20"/>
      </w:rPr>
      <w:t>CHAPTER 4. RESULTS AND DISCUSSIONS</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2C1479"/>
    <w:rsid w:val="00326F90"/>
    <w:rsid w:val="0044313E"/>
    <w:rsid w:val="00651A3C"/>
    <w:rsid w:val="006827D3"/>
    <w:rsid w:val="0074445F"/>
    <w:rsid w:val="0080220C"/>
    <w:rsid w:val="009476F9"/>
    <w:rsid w:val="00AA1D8D"/>
    <w:rsid w:val="00AA3D89"/>
    <w:rsid w:val="00AB38B5"/>
    <w:rsid w:val="00B40A17"/>
    <w:rsid w:val="00B47730"/>
    <w:rsid w:val="00BF1F9D"/>
    <w:rsid w:val="00C77C4F"/>
    <w:rsid w:val="00C968E9"/>
    <w:rsid w:val="00C96A92"/>
    <w:rsid w:val="00CA5B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6228</Words>
  <Characters>35503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13</cp:revision>
  <dcterms:created xsi:type="dcterms:W3CDTF">2013-12-23T23:15:00Z</dcterms:created>
  <dcterms:modified xsi:type="dcterms:W3CDTF">2026-07-08T09:12:00Z</dcterms:modified>
  <cp:category/>
</cp:coreProperties>
</file>