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No single tool combines the six standard ergonomic risk factors into an automated per-rider screening.</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quick-commerce 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pStyle w:val="Heading2"/>
        <w:spacing w:before="480" w:after="0"/>
      </w:pPr>
      <w:r>
        <w:rPr>
          <w:rFonts w:ascii="Times New Roman" w:hAnsi="Times New Roman" w:cs="Times New Roman" w:eastAsia="Times New Roman"/>
          <w:b w:val="0"/>
          <w:color w:val="000000"/>
          <w:sz w:val="40"/>
        </w:rPr>
        <w:t>Chapter 1</w:t>
      </w:r>
    </w:p>
    <w:p>
      <w:pPr>
        <w:spacing w:before="360" w:after="480"/>
      </w:pPr>
      <w:r>
        <w:rPr>
          <w:rFonts w:ascii="Times New Roman" w:hAnsi="Times New Roman" w:cs="Times New Roman" w:eastAsia="Times New Roman"/>
          <w:b/>
          <w:color w:val="000000"/>
          <w:sz w:val="64"/>
        </w:rPr>
        <w:t>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2</w:t>
      </w:r>
    </w:p>
    <w:p>
      <w:pPr>
        <w:spacing w:before="360" w:after="480"/>
      </w:pPr>
      <w:r>
        <w:rPr>
          <w:rFonts w:ascii="Times New Roman" w:hAnsi="Times New Roman" w:cs="Times New Roman" w:eastAsia="Times New Roman"/>
          <w:b/>
          <w:color w:val="000000"/>
          <w:sz w:val="64"/>
        </w:rPr>
        <w:t>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0"/>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480" w:after="0"/>
      </w:pPr>
      <w:r>
        <w:rPr>
          <w:rFonts w:ascii="Times New Roman" w:hAnsi="Times New Roman" w:cs="Times New Roman" w:eastAsia="Times New Roman"/>
          <w:b w:val="0"/>
          <w:color w:val="000000"/>
          <w:sz w:val="40"/>
        </w:rPr>
        <w:t>Chapter 3</w:t>
      </w:r>
    </w:p>
    <w:p>
      <w:pPr>
        <w:spacing w:before="360" w:after="480"/>
      </w:pPr>
      <w:r>
        <w:rPr>
          <w:rFonts w:ascii="Times New Roman" w:hAnsi="Times New Roman" w:cs="Times New Roman" w:eastAsia="Times New Roman"/>
          <w:b/>
          <w:color w:val="000000"/>
          <w:sz w:val="64"/>
        </w:rPr>
        <w:t>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480" w:after="0"/>
      </w:pPr>
      <w:r>
        <w:rPr>
          <w:rFonts w:ascii="Times New Roman" w:hAnsi="Times New Roman" w:cs="Times New Roman" w:eastAsia="Times New Roman"/>
          <w:b w:val="0"/>
          <w:color w:val="000000"/>
          <w:sz w:val="40"/>
        </w:rPr>
        <w:t>Chapter 4</w:t>
      </w:r>
    </w:p>
    <w:p>
      <w:pPr>
        <w:spacing w:before="360" w:after="480"/>
      </w:pPr>
      <w:r>
        <w:rPr>
          <w:rFonts w:ascii="Times New Roman" w:hAnsi="Times New Roman" w:cs="Times New Roman" w:eastAsia="Times New Roman"/>
          <w:b/>
          <w:color w:val="000000"/>
          <w:sz w:val="64"/>
        </w:rPr>
        <w:t>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1"/>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2"/>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3"/>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4"/>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5"/>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7"/>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18"/>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5</w:t>
      </w:r>
    </w:p>
    <w:p>
      <w:pPr>
        <w:spacing w:before="360" w:after="480"/>
      </w:pPr>
      <w:r>
        <w:rPr>
          <w:rFonts w:ascii="Times New Roman" w:hAnsi="Times New Roman" w:cs="Times New Roman" w:eastAsia="Times New Roman"/>
          <w:b/>
          <w:color w:val="000000"/>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1"/>
        <w:spacing w:before="480" w:after="480"/>
        <w:jc w:val="center"/>
      </w:pPr>
      <w:r>
        <w:rPr>
          <w:rFonts w:ascii="Times New Roman" w:hAnsi="Times New Roman" w:cs="Times New Roman" w:eastAsia="Times New Roman"/>
          <w:b/>
          <w:i w:val="0"/>
          <w:color w:val="000000"/>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