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IIITDM-SIES Programme</w:t>
      </w:r>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14:paraId="1613B1AF" w14:textId="77777777" w:rsidR="00BF1F9D" w:rsidRDefault="00000000">
      <w:pPr>
        <w:spacing w:after="160" w:line="336" w:lineRule="auto"/>
        <w:jc w:val="both"/>
      </w:pPr>
      <w:r>
        <w:rPr>
          <w:rFonts w:eastAsia="Times New Roman" w:cs="Times New Roman"/>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t>i</w:t>
      </w:r>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77777777" w:rsidR="00BF1F9D" w:rsidRDefault="00000000">
      <w:pPr>
        <w:tabs>
          <w:tab w:val="right" w:leader="dot" w:pos="9071"/>
        </w:tabs>
        <w:spacing w:after="80"/>
      </w:pPr>
      <w:r>
        <w:rPr>
          <w:rFonts w:eastAsia="Times New Roman" w:cs="Times New Roman"/>
        </w:rPr>
        <w:t>Contents</w:t>
      </w:r>
      <w:r>
        <w:rPr>
          <w:rFonts w:eastAsia="Times New Roman" w:cs="Times New Roman"/>
        </w:rPr>
        <w:tab/>
        <w:t>iv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viii</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XGBoost</w:t>
      </w:r>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13</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15</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17</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19</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20</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23</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25</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13</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14</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15</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16</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19</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19</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20</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20</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20</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20</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21</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21</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13</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13</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14</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15</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17</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19</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19</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Winning hyperparameters per target after GridSearchCV.</w:t>
      </w:r>
      <w:r>
        <w:rPr>
          <w:rFonts w:eastAsia="Times New Roman" w:cs="Times New Roman"/>
        </w:rPr>
        <w:tab/>
        <w:t>20</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13C29304" w14:textId="77777777" w:rsidR="00BF1F9D" w:rsidRDefault="00000000">
      <w:pPr>
        <w:tabs>
          <w:tab w:val="left" w:pos="1984"/>
        </w:tabs>
        <w:spacing w:after="60"/>
      </w:pPr>
      <w:r>
        <w:rPr>
          <w:rFonts w:eastAsia="Times New Roman" w:cs="Times New Roman"/>
          <w:b/>
        </w:rPr>
        <w:t>CSV</w:t>
      </w:r>
      <w:r>
        <w:rPr>
          <w:rFonts w:eastAsia="Times New Roman" w:cs="Times New Roman"/>
        </w:rPr>
        <w:tab/>
        <w:t>Comma-Separated Values</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r>
        <w:rPr>
          <w:rFonts w:eastAsia="Times New Roman" w:cs="Times New Roman"/>
          <w:b/>
        </w:rPr>
        <w:t>HistGBM</w:t>
      </w:r>
      <w:r>
        <w:rPr>
          <w:rFonts w:eastAsia="Times New Roman" w:cs="Times New Roman"/>
        </w:rPr>
        <w:tab/>
        <w:t>Histogram-based Gradient Boosting Machine</w:t>
      </w:r>
    </w:p>
    <w:p w14:paraId="296A67D4" w14:textId="77777777" w:rsidR="00BF1F9D" w:rsidRDefault="00000000">
      <w:pPr>
        <w:tabs>
          <w:tab w:val="left" w:pos="1984"/>
        </w:tabs>
        <w:spacing w:after="60"/>
      </w:pPr>
      <w:r>
        <w:rPr>
          <w:rFonts w:eastAsia="Times New Roman" w:cs="Times New Roman"/>
          <w:b/>
        </w:rPr>
        <w:t>XGBoost</w:t>
      </w:r>
      <w:r>
        <w:rPr>
          <w:rFonts w:eastAsia="Times New Roman" w:cs="Times New Roman"/>
        </w:rPr>
        <w:tab/>
        <w:t>eXtreme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r>
        <w:rPr>
          <w:rFonts w:eastAsia="Times New Roman" w:cs="Times New Roman"/>
          <w:b/>
        </w:rPr>
        <w:t>dph</w:t>
      </w:r>
      <w:r>
        <w:rPr>
          <w:rFonts w:eastAsia="Times New Roman" w:cs="Times New Roman"/>
        </w:rPr>
        <w:tab/>
        <w:t>Deliveries Per Hour</w:t>
      </w:r>
    </w:p>
    <w:p w14:paraId="38DDC136" w14:textId="77777777" w:rsidR="00BF1F9D" w:rsidRDefault="00000000">
      <w:pPr>
        <w:tabs>
          <w:tab w:val="left" w:pos="1984"/>
        </w:tabs>
        <w:spacing w:after="60"/>
      </w:pPr>
      <w:r>
        <w:rPr>
          <w:rFonts w:eastAsia="Times New Roman" w:cs="Times New Roman"/>
          <w:b/>
        </w:rPr>
        <w:t>API</w:t>
      </w:r>
      <w:r>
        <w:rPr>
          <w:rFonts w:eastAsia="Times New Roman" w:cs="Times New Roman"/>
        </w:rPr>
        <w:tab/>
        <w:t>Application Programming Interface</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number of nearest minority neighbours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r>
        <w:rPr>
          <w:rFonts w:eastAsia="Times New Roman" w:cs="Times New Roman"/>
          <w:b/>
          <w:i/>
        </w:rPr>
        <w:t>dph</w:t>
      </w:r>
      <w:r>
        <w:rPr>
          <w:rFonts w:eastAsia="Times New Roman" w:cs="Times New Roman"/>
        </w:rPr>
        <w:tab/>
        <w:t>deliveries per hour, deliveries_num / work_hours_num</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Implement the pipeline reproducibly in Python (Jupyter notebooks, scikit-learn, XGBoost, imbalanced-learn, statsmodels)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Train and evaluate seven candidate ML algorithms per risk factor using 5-fold stratified cross-validation with SMOTE oversampling inside every fold, and report accuracy, macro F1, and macro AUC.</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Deploy the trained models behind a Streamlit web application that accepts the full 36-item questionnaire plus the 11 RULA components and 8 QEC scores, and returns the six colour-coded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Full-time delivery partners working on either the Blinkit or the Zepto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Vibration: vibration_index binned by sample tercile.</w:t>
      </w:r>
    </w:p>
    <w:p w14:paraId="09FFC0AD" w14:textId="77777777" w:rsidR="00BF1F9D" w:rsidRDefault="00000000">
      <w:pPr>
        <w:pStyle w:val="ListBullet"/>
        <w:spacing w:after="60"/>
      </w:pPr>
      <w:r>
        <w:rPr>
          <w:rFonts w:eastAsia="Times New Roman" w:cs="Times New Roman"/>
        </w:rPr>
        <w:t>Contact Stress: carrying_contact_rank x work_hours_num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r>
        <w:rPr>
          <w:rFonts w:eastAsia="Times New Roman" w:cs="Times New Roman"/>
        </w:rPr>
        <w:t>Regularised linear classifier used as the baseline (L2 penalty, class_weight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Single CART tree with max_depth (3-10) and min_samples_leaf (2-10) tuned via grid search.  Included as the ensembling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Like Random Forest but with fully random splits per node.  The extra randomisation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2.6.6   XGBoost</w:t>
      </w:r>
    </w:p>
    <w:p w14:paraId="0B07492D" w14:textId="77777777" w:rsidR="00BF1F9D" w:rsidRDefault="00000000">
      <w:pPr>
        <w:spacing w:after="160" w:line="336" w:lineRule="auto"/>
        <w:jc w:val="both"/>
      </w:pPr>
      <w:r>
        <w:rPr>
          <w:rFonts w:eastAsia="Times New Roman" w:cs="Times New Roman"/>
        </w:rPr>
        <w:t>Gradient-boosted trees with L1 + L2 regularisation on the leaf weights and per-tree column subsampling.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Meta-learner taking the out-of-fold predictions of Random Forest, Extra Trees, HistGBM, and XGBoost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Each target excludes the survey inputs that directly define its Stage-1 label (otherwise the model would memorise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r>
              <w:rPr>
                <w:rFonts w:eastAsia="Times New Roman" w:cs="Times New Roman"/>
                <w:sz w:val="20"/>
              </w:rPr>
              <w:t>force_exertion, force_x_age</w:t>
            </w:r>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r>
              <w:rPr>
                <w:rFonts w:eastAsia="Times New Roman" w:cs="Times New Roman"/>
                <w:sz w:val="20"/>
              </w:rPr>
              <w:t>deliveries_num, work_hours_num, deliv_x_days</w:t>
            </w:r>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r>
              <w:rPr>
                <w:rFonts w:eastAsia="Times New Roman" w:cs="Times New Roman"/>
                <w:sz w:val="20"/>
              </w:rPr>
              <w:t>work_hours_num, vibration_index</w:t>
            </w:r>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r>
              <w:rPr>
                <w:rFonts w:eastAsia="Times New Roman" w:cs="Times New Roman"/>
                <w:sz w:val="20"/>
              </w:rPr>
              <w:t>vibration_index, vehicle_rank, work_hours_num</w:t>
            </w:r>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r>
              <w:rPr>
                <w:rFonts w:eastAsia="Times New Roman" w:cs="Times New Roman"/>
                <w:sz w:val="20"/>
              </w:rPr>
              <w:t>carrying_contact_rank, work_hours_num</w:t>
            </w:r>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01_data_cleaning normalises the raw CSV and validates row counts.</w:t>
      </w:r>
    </w:p>
    <w:p w14:paraId="69FC99E0" w14:textId="77777777" w:rsidR="00BF1F9D" w:rsidRDefault="00000000">
      <w:pPr>
        <w:pStyle w:val="ListBullet"/>
        <w:spacing w:after="60"/>
      </w:pPr>
      <w:r>
        <w:rPr>
          <w:rFonts w:eastAsia="Times New Roman" w:cs="Times New Roman"/>
        </w:rPr>
        <w:t>02_feature_engineering encodes categoricals,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06_modeling runs SMOTE plus GridSearchCV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14:paraId="2AB71672" w14:textId="77777777" w:rsidR="00BF1F9D" w:rsidRDefault="00000000">
      <w:pPr>
        <w:spacing w:after="160" w:line="336" w:lineRule="auto"/>
        <w:jc w:val="both"/>
      </w:pPr>
      <w:r>
        <w:rPr>
          <w:rFonts w:eastAsia="Times New Roman" w:cs="Times New Roman"/>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expandable JSON view of the exact 63 feature values that were fed to the models. The app also has a Methodology page that summarises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264868D9">
            <wp:extent cx="4537600" cy="23774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537600" cy="237744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and Force as the two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r>
              <w:rPr>
                <w:rFonts w:eastAsia="Times New Roman" w:cs="Times New Roman"/>
                <w:sz w:val="20"/>
              </w:rPr>
              <w:t>HistGradientBoosting</w:t>
            </w:r>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r>
              <w:rPr>
                <w:rFonts w:eastAsia="Times New Roman" w:cs="Times New Roman"/>
                <w:sz w:val="20"/>
              </w:rPr>
              <w:t>RandomForest</w:t>
            </w:r>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r>
              <w:rPr>
                <w:rFonts w:eastAsia="Times New Roman" w:cs="Times New Roman"/>
                <w:sz w:val="20"/>
              </w:rPr>
              <w:t>RandomForest</w:t>
            </w:r>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r>
              <w:rPr>
                <w:rFonts w:eastAsia="Times New Roman" w:cs="Times New Roman"/>
                <w:sz w:val="20"/>
              </w:rPr>
              <w:t>ExtraTrees</w:t>
            </w:r>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r>
              <w:rPr>
                <w:rFonts w:eastAsia="Times New Roman" w:cs="Times New Roman"/>
                <w:sz w:val="20"/>
              </w:rPr>
              <w:t>RandomForest</w:t>
            </w:r>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r>
              <w:rPr>
                <w:rFonts w:eastAsia="Times New Roman" w:cs="Times New Roman"/>
                <w:sz w:val="20"/>
              </w:rPr>
              <w:t>HistGradientBoosting</w:t>
            </w:r>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0.658</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0.621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0.617</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0.638</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0.724</w:t>
            </w:r>
          </w:p>
        </w:tc>
        <w:tc>
          <w:tcPr>
            <w:tcW w:w="1247" w:type="dxa"/>
          </w:tcPr>
          <w:p w14:paraId="18C956FE" w14:textId="77777777" w:rsidR="00BF1F9D" w:rsidRDefault="00000000">
            <w:pPr>
              <w:spacing w:before="20" w:after="20"/>
            </w:pPr>
            <w:r>
              <w:rPr>
                <w:rFonts w:eastAsia="Times New Roman" w:cs="Times New Roman"/>
                <w:sz w:val="20"/>
              </w:rPr>
              <w:t>0.724</w:t>
            </w:r>
          </w:p>
        </w:tc>
        <w:tc>
          <w:tcPr>
            <w:tcW w:w="1134" w:type="dxa"/>
          </w:tcPr>
          <w:p w14:paraId="7F1B1FB8" w14:textId="77777777" w:rsidR="00BF1F9D" w:rsidRDefault="00000000">
            <w:pPr>
              <w:spacing w:before="20" w:after="20"/>
            </w:pPr>
            <w:r>
              <w:rPr>
                <w:rFonts w:eastAsia="Times New Roman" w:cs="Times New Roman"/>
                <w:sz w:val="20"/>
              </w:rPr>
              <w:t>0.724</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0.948</w:t>
            </w:r>
          </w:p>
        </w:tc>
        <w:tc>
          <w:tcPr>
            <w:tcW w:w="1247" w:type="dxa"/>
          </w:tcPr>
          <w:p w14:paraId="29DCF44D" w14:textId="77777777" w:rsidR="00BF1F9D" w:rsidRDefault="00000000">
            <w:pPr>
              <w:spacing w:before="20" w:after="20"/>
            </w:pPr>
            <w:r>
              <w:rPr>
                <w:rFonts w:eastAsia="Times New Roman" w:cs="Times New Roman"/>
                <w:sz w:val="20"/>
              </w:rPr>
              <w:t>0.948</w:t>
            </w:r>
          </w:p>
        </w:tc>
        <w:tc>
          <w:tcPr>
            <w:tcW w:w="1134" w:type="dxa"/>
          </w:tcPr>
          <w:p w14:paraId="1C94E9B1" w14:textId="77777777" w:rsidR="00BF1F9D" w:rsidRDefault="00000000">
            <w:pPr>
              <w:spacing w:before="20" w:after="20"/>
            </w:pPr>
            <w:r>
              <w:rPr>
                <w:rFonts w:eastAsia="Times New Roman" w:cs="Times New Roman"/>
                <w:sz w:val="20"/>
              </w:rPr>
              <w:t>0.948</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r>
              <w:rPr>
                <w:rFonts w:eastAsia="Times New Roman" w:cs="Times New Roman"/>
                <w:sz w:val="20"/>
              </w:rPr>
              <w:t>HistGBM</w:t>
            </w:r>
          </w:p>
        </w:tc>
        <w:tc>
          <w:tcPr>
            <w:tcW w:w="3402" w:type="dxa"/>
          </w:tcPr>
          <w:p w14:paraId="3CE14932" w14:textId="77777777" w:rsidR="00BF1F9D" w:rsidRDefault="00000000">
            <w:pPr>
              <w:spacing w:before="20" w:after="20"/>
            </w:pPr>
            <w:r>
              <w:rPr>
                <w:rFonts w:eastAsia="Times New Roman" w:cs="Times New Roman"/>
                <w:sz w:val="20"/>
              </w:rPr>
              <w:t>max_depth=None, learning_rate=0.05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r>
              <w:rPr>
                <w:rFonts w:eastAsia="Times New Roman" w:cs="Times New Roman"/>
                <w:sz w:val="20"/>
              </w:rPr>
              <w:t>RandomForest</w:t>
            </w:r>
          </w:p>
        </w:tc>
        <w:tc>
          <w:tcPr>
            <w:tcW w:w="3402" w:type="dxa"/>
          </w:tcPr>
          <w:p w14:paraId="4A701B4A" w14:textId="77777777" w:rsidR="00BF1F9D" w:rsidRDefault="00000000">
            <w:pPr>
              <w:spacing w:before="20" w:after="20"/>
            </w:pPr>
            <w:r>
              <w:rPr>
                <w:rFonts w:eastAsia="Times New Roman" w:cs="Times New Roman"/>
                <w:sz w:val="20"/>
              </w:rPr>
              <w:t>n_estimators=300, max_depth=None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r>
              <w:rPr>
                <w:rFonts w:eastAsia="Times New Roman" w:cs="Times New Roman"/>
                <w:sz w:val="20"/>
              </w:rPr>
              <w:t>RandomForest</w:t>
            </w:r>
          </w:p>
        </w:tc>
        <w:tc>
          <w:tcPr>
            <w:tcW w:w="3402" w:type="dxa"/>
          </w:tcPr>
          <w:p w14:paraId="32958D05" w14:textId="77777777" w:rsidR="00BF1F9D" w:rsidRDefault="00000000">
            <w:pPr>
              <w:spacing w:before="20" w:after="20"/>
            </w:pPr>
            <w:r>
              <w:rPr>
                <w:rFonts w:eastAsia="Times New Roman" w:cs="Times New Roman"/>
                <w:sz w:val="20"/>
              </w:rPr>
              <w:t>n_estimators=500, max_depth=5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r>
              <w:rPr>
                <w:rFonts w:eastAsia="Times New Roman" w:cs="Times New Roman"/>
                <w:sz w:val="20"/>
              </w:rPr>
              <w:t>ExtraTrees</w:t>
            </w:r>
          </w:p>
        </w:tc>
        <w:tc>
          <w:tcPr>
            <w:tcW w:w="3402" w:type="dxa"/>
          </w:tcPr>
          <w:p w14:paraId="37F48B20" w14:textId="77777777" w:rsidR="00BF1F9D" w:rsidRDefault="00000000">
            <w:pPr>
              <w:spacing w:before="20" w:after="20"/>
            </w:pPr>
            <w:r>
              <w:rPr>
                <w:rFonts w:eastAsia="Times New Roman" w:cs="Times New Roman"/>
                <w:sz w:val="20"/>
              </w:rPr>
              <w:t>n_estimators=300, max_depth=None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r>
              <w:rPr>
                <w:rFonts w:eastAsia="Times New Roman" w:cs="Times New Roman"/>
                <w:sz w:val="20"/>
              </w:rPr>
              <w:t>RandomForest</w:t>
            </w:r>
          </w:p>
        </w:tc>
        <w:tc>
          <w:tcPr>
            <w:tcW w:w="3402" w:type="dxa"/>
          </w:tcPr>
          <w:p w14:paraId="1A7BBA03" w14:textId="77777777" w:rsidR="00BF1F9D" w:rsidRDefault="00000000">
            <w:pPr>
              <w:spacing w:before="20" w:after="20"/>
            </w:pPr>
            <w:r>
              <w:rPr>
                <w:rFonts w:eastAsia="Times New Roman" w:cs="Times New Roman"/>
                <w:sz w:val="20"/>
              </w:rPr>
              <w:t>n_estimators=500, max_depth=None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r>
              <w:rPr>
                <w:rFonts w:eastAsia="Times New Roman" w:cs="Times New Roman"/>
                <w:sz w:val="20"/>
              </w:rPr>
              <w:t>HistGBM</w:t>
            </w:r>
          </w:p>
        </w:tc>
        <w:tc>
          <w:tcPr>
            <w:tcW w:w="3402" w:type="dxa"/>
          </w:tcPr>
          <w:p w14:paraId="50C4034F" w14:textId="77777777" w:rsidR="00BF1F9D" w:rsidRDefault="00000000">
            <w:pPr>
              <w:spacing w:before="20" w:after="20"/>
            </w:pPr>
            <w:r>
              <w:rPr>
                <w:rFonts w:eastAsia="Times New Roman" w:cs="Times New Roman"/>
                <w:sz w:val="20"/>
              </w:rPr>
              <w:t>max_depth=5, learning_rate=0.05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Table 4.8: Winning hyperparameters per target after GridSearchCV.</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Figure 4.13: Web app: predicted risk profile output with colour-coded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 xml:space="preserve">[1] </w:t>
      </w:r>
      <w:r>
        <w:t>Benson TM, Sathiyarajeswaran NS, Radhakrishnan R, Gafoor AA, Krupalakshme M, Samal J (2025). Factors and prevalence of musculoskeletal pain among the app-based food delivery riders in Tamil Nadu: a cross-sectional study. Discover Social Sciences and Health, 5:14.</w:t>
      </w:r>
    </w:p>
    <w:p w14:paraId="19CE0744" w14:textId="77777777" w:rsidR="00BF1F9D" w:rsidRDefault="00000000">
      <w:pPr>
        <w:spacing w:after="160"/>
        <w:ind w:left="454" w:hanging="454"/>
        <w:jc w:val="both"/>
      </w:pPr>
      <w:r>
        <w:t xml:space="preserve">[2] </w:t>
      </w:r>
      <w:r>
        <w:t>Pandit S, Adhikari P (2023). Ergonomics Issues Among Last Mile Delivery Rides in Jabalpur, India. Springer Ergonomics Proceedings, 209-215.</w:t>
      </w:r>
    </w:p>
    <w:p w14:paraId="19CE0744" w14:textId="77777777" w:rsidR="00BF1F9D" w:rsidRDefault="00000000">
      <w:pPr>
        <w:spacing w:after="160"/>
        <w:ind w:left="454" w:hanging="454"/>
        <w:jc w:val="both"/>
      </w:pPr>
      <w:r>
        <w:t xml:space="preserve">[3] </w:t>
      </w:r>
      <w:r>
        <w:t>Daud A, Mohd Basri IS, Ahmad E, Mohd Hairon S, Nordin R, Azali Azmir N, Md Jalil MAS (2023). Assessing ergonomic risks: REBA analysis of food delivery riders in Eastern Peninsular Malaysia. Industrial Health, 61(4), 282-291.</w:t>
      </w:r>
    </w:p>
    <w:p w14:paraId="19CE0744" w14:textId="77777777" w:rsidR="00BF1F9D" w:rsidRDefault="00000000">
      <w:pPr>
        <w:spacing w:after="160"/>
        <w:ind w:left="454" w:hanging="454"/>
        <w:jc w:val="both"/>
      </w:pPr>
      <w:r>
        <w:t xml:space="preserve">[4] </w:t>
      </w:r>
      <w:r>
        <w:t>McAtamney L, Corlett EN (1993). RULA: a survey method for the investigation of work-related upper limb disorders. Applied Ergonomics, 24(2), 91-99.</w:t>
      </w:r>
    </w:p>
    <w:p w14:paraId="19CE0744" w14:textId="77777777" w:rsidR="00BF1F9D" w:rsidRDefault="00000000">
      <w:pPr>
        <w:spacing w:after="160"/>
        <w:ind w:left="454" w:hanging="454"/>
        <w:jc w:val="both"/>
      </w:pPr>
      <w:r>
        <w:t xml:space="preserve">[5] </w:t>
      </w:r>
      <w:r>
        <w:t>David G, Woods V, Li G, Buckle P (2008). The development of the Quick Exposure Check (QEC) for assessing exposure to risk factors for work-related musculoskeletal disorders. Applied Ergonomics, 39(1), 57-69.</w:t>
      </w:r>
    </w:p>
    <w:p w14:paraId="19CE0744" w14:textId="77777777" w:rsidR="00BF1F9D" w:rsidRDefault="00000000">
      <w:pPr>
        <w:spacing w:after="160"/>
        <w:ind w:left="454" w:hanging="454"/>
        <w:jc w:val="both"/>
      </w:pPr>
      <w:r>
        <w:t xml:space="preserve">[6] </w:t>
      </w:r>
      <w:r>
        <w:t>Kuorinka I, Jonsson B, Kilbom A, Vinterberg H, Biering-Sorensen F, Andersson G, Jorgensen K (1987). Standardised Nordic questionnaires for the analysis of musculoskeletal symptoms. Applied Ergonomics, 18(3), 233-237.</w:t>
      </w:r>
    </w:p>
    <w:p w14:paraId="19CE0744" w14:textId="77777777" w:rsidR="00BF1F9D" w:rsidRDefault="00000000">
      <w:pPr>
        <w:spacing w:after="160"/>
        <w:ind w:left="454" w:hanging="454"/>
        <w:jc w:val="both"/>
      </w:pPr>
      <w:r>
        <w:t xml:space="preserve">[7] </w:t>
      </w:r>
      <w:r>
        <w:t>Hart SG, Staveland LE (1988). Development of NASA-TLX (Task Load Index): Results of empirical and theoretical research. Advances in Psychology, 52, 139-183.</w:t>
      </w:r>
    </w:p>
    <w:p w14:paraId="19CE0744" w14:textId="77777777" w:rsidR="00BF1F9D" w:rsidRDefault="00000000">
      <w:pPr>
        <w:spacing w:after="160"/>
        <w:ind w:left="454" w:hanging="454"/>
        <w:jc w:val="both"/>
      </w:pPr>
      <w:r>
        <w:t xml:space="preserve">[8] </w:t>
      </w:r>
      <w:r>
        <w:t>Borg G (1998). Borg's Perceived Exertion and Pain Scales. Human Kinetics Publishers, Champaign, Illinois.</w:t>
      </w:r>
    </w:p>
    <w:p w14:paraId="19CE0744" w14:textId="77777777" w:rsidR="00BF1F9D" w:rsidRDefault="00000000">
      <w:pPr>
        <w:spacing w:after="160"/>
        <w:ind w:left="454" w:hanging="454"/>
        <w:jc w:val="both"/>
      </w:pPr>
      <w:r>
        <w:t xml:space="preserve">[9] </w:t>
      </w:r>
      <w:r>
        <w:t>Chawla NV, Bowyer KW, Hall LO, Kegelmeyer WP (2002). SMOTE: Synthetic Minority Over-sampling Technique. Journal of Artificial Intelligence Research, 16, 321-357.</w:t>
      </w:r>
    </w:p>
    <w:p w14:paraId="19CE0744" w14:textId="77777777" w:rsidR="00BF1F9D" w:rsidRDefault="00000000">
      <w:pPr>
        <w:spacing w:after="160"/>
        <w:ind w:left="454" w:hanging="454"/>
        <w:jc w:val="both"/>
      </w:pPr>
      <w:r>
        <w:t xml:space="preserve">[10] </w:t>
      </w:r>
      <w:r>
        <w:t>Breiman L (2001). Random Forests. Machine Learning, 45(1), 5-32.</w:t>
      </w:r>
    </w:p>
    <w:p w14:paraId="19CE0744" w14:textId="77777777" w:rsidR="00BF1F9D" w:rsidRDefault="00000000">
      <w:pPr>
        <w:spacing w:after="160"/>
        <w:ind w:left="454" w:hanging="454"/>
        <w:jc w:val="both"/>
      </w:pPr>
      <w:r>
        <w:t xml:space="preserve">[11] </w:t>
      </w:r>
      <w:r>
        <w:t>Geurts P, Ernst D, Wehenkel L (2006). Extremely randomized trees. Machine Learning, 63(1), 3-42.</w:t>
      </w:r>
    </w:p>
    <w:p w14:paraId="19CE0744" w14:textId="77777777" w:rsidR="00BF1F9D" w:rsidRDefault="00000000">
      <w:pPr>
        <w:spacing w:after="160"/>
        <w:ind w:left="454" w:hanging="454"/>
        <w:jc w:val="both"/>
      </w:pPr>
      <w:r>
        <w:t xml:space="preserve">[12] </w:t>
      </w:r>
      <w:r>
        <w:t>Chen T, Guestrin C (2016). XGBoost: A Scalable Tree Boosting System. Proceedings of the 22nd ACM SIGKDD International Conference on Knowledge Discovery and Data Mining, 785-794.</w:t>
      </w:r>
    </w:p>
    <w:p w14:paraId="19CE0744" w14:textId="77777777" w:rsidR="00BF1F9D" w:rsidRDefault="00000000">
      <w:pPr>
        <w:spacing w:after="160"/>
        <w:ind w:left="454" w:hanging="454"/>
        <w:jc w:val="both"/>
      </w:pPr>
      <w:r>
        <w:t xml:space="preserve">[13] </w:t>
      </w:r>
      <w:r>
        <w:t>Friedman JH (2001). Greedy function approximation: A gradient boosting machine. Annals of Statistics, 29(5), 1189-1232.</w:t>
      </w:r>
    </w:p>
    <w:p w14:paraId="19CE0744" w14:textId="77777777" w:rsidR="00BF1F9D" w:rsidRDefault="00000000">
      <w:pPr>
        <w:spacing w:after="160"/>
        <w:ind w:left="454" w:hanging="454"/>
        <w:jc w:val="both"/>
      </w:pPr>
      <w:r>
        <w:t xml:space="preserve">[14] </w:t>
      </w:r>
      <w:r>
        <w:t>Pedregosa F, Varoquaux G, Gramfort A, et al. (2011). Scikit-learn: Machine Learning in Python. Journal of Machine Learning Research, 12, 2825-2830.</w:t>
      </w:r>
    </w:p>
    <w:p w14:paraId="19CE0744" w14:textId="77777777" w:rsidR="00BF1F9D" w:rsidRDefault="00000000">
      <w:pPr>
        <w:spacing w:after="160"/>
        <w:ind w:left="454" w:hanging="454"/>
        <w:jc w:val="both"/>
      </w:pPr>
      <w:r>
        <w:t xml:space="preserve">[15] </w:t>
      </w:r>
      <w:r>
        <w:t>Lemaitre G, Nogueira F, Aridas CK (2017). Imbalanced-learn: A Python toolbox to tackle the curse of imbalanced datasets in machine learning. Journal of Machine Learning Research, 18(17), 1-5.</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81DCA" w14:textId="77777777" w:rsidR="0080220C" w:rsidRDefault="0080220C">
      <w:pPr>
        <w:spacing w:after="0" w:line="240" w:lineRule="auto"/>
      </w:pPr>
      <w:r>
        <w:separator/>
      </w:r>
    </w:p>
  </w:endnote>
  <w:endnote w:type="continuationSeparator" w:id="0">
    <w:p w14:paraId="3F51CBF4" w14:textId="77777777" w:rsidR="0080220C" w:rsidRDefault="008022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51440" w14:textId="77777777" w:rsidR="0080220C" w:rsidRDefault="0080220C">
      <w:pPr>
        <w:spacing w:after="0" w:line="240" w:lineRule="auto"/>
      </w:pPr>
      <w:r>
        <w:separator/>
      </w:r>
    </w:p>
  </w:footnote>
  <w:footnote w:type="continuationSeparator" w:id="0">
    <w:p w14:paraId="40A2C5DC" w14:textId="77777777" w:rsidR="0080220C" w:rsidRDefault="008022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4F6C5CE2"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651A3C">
      <w:rPr>
        <w:rFonts w:eastAsia="Times New Roman" w:cs="Times New Roman"/>
        <w:b/>
        <w:noProof/>
        <w:sz w:val="20"/>
      </w:rPr>
      <w:t>BIBLIOGRAPHY</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54"/>
    <w:rsid w:val="0015074B"/>
    <w:rsid w:val="001878B1"/>
    <w:rsid w:val="0029639D"/>
    <w:rsid w:val="00326F90"/>
    <w:rsid w:val="0044313E"/>
    <w:rsid w:val="00651A3C"/>
    <w:rsid w:val="0074445F"/>
    <w:rsid w:val="0080220C"/>
    <w:rsid w:val="009476F9"/>
    <w:rsid w:val="00AA1D8D"/>
    <w:rsid w:val="00AA3D89"/>
    <w:rsid w:val="00AB38B5"/>
    <w:rsid w:val="00B47730"/>
    <w:rsid w:val="00BF1F9D"/>
    <w:rsid w:val="00C77C4F"/>
    <w:rsid w:val="00C968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6214</Words>
  <Characters>35425</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10</cp:revision>
  <dcterms:created xsi:type="dcterms:W3CDTF">2013-12-23T23:15:00Z</dcterms:created>
  <dcterms:modified xsi:type="dcterms:W3CDTF">2026-07-08T08:29:00Z</dcterms:modified>
  <cp:category/>
</cp:coreProperties>
</file>