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ii</w:t>
      </w:r>
    </w:p>
    <w:p>
      <w:pPr>
        <w:tabs>
          <w:tab w:pos="9071" w:val="right" w:leader="dot"/>
        </w:tabs>
        <w:spacing w:after="80"/>
      </w:pPr>
      <w:r>
        <w:rPr>
          <w:rFonts w:ascii="Times New Roman" w:hAnsi="Times New Roman" w:cs="Times New Roman" w:eastAsia="Times New Roman"/>
          <w:sz w:val="22"/>
        </w:rPr>
        <w:t>Abstract</w:t>
        <w:tab/>
        <w:t>iii</w:t>
      </w:r>
    </w:p>
    <w:p>
      <w:pPr>
        <w:tabs>
          <w:tab w:pos="9071" w:val="right" w:leader="dot"/>
        </w:tabs>
        <w:spacing w:after="80"/>
      </w:pPr>
      <w:r>
        <w:rPr>
          <w:rFonts w:ascii="Times New Roman" w:hAnsi="Times New Roman" w:cs="Times New Roman" w:eastAsia="Times New Roman"/>
          <w:sz w:val="22"/>
        </w:rPr>
        <w:t>Acknowledgements</w:t>
        <w:tab/>
        <w:t>iv</w:t>
      </w:r>
    </w:p>
    <w:p>
      <w:pPr>
        <w:tabs>
          <w:tab w:pos="9071" w:val="right" w:leader="dot"/>
        </w:tabs>
        <w:spacing w:after="80"/>
      </w:pPr>
      <w:r>
        <w:rPr>
          <w:rFonts w:ascii="Times New Roman" w:hAnsi="Times New Roman" w:cs="Times New Roman" w:eastAsia="Times New Roman"/>
          <w:sz w:val="22"/>
        </w:rPr>
        <w:t>List of Figures</w:t>
        <w:tab/>
        <w:t>vi</w:t>
      </w:r>
    </w:p>
    <w:p>
      <w:pPr>
        <w:tabs>
          <w:tab w:pos="9071" w:val="right" w:leader="dot"/>
        </w:tabs>
        <w:spacing w:after="80"/>
      </w:pPr>
      <w:r>
        <w:rPr>
          <w:rFonts w:ascii="Times New Roman" w:hAnsi="Times New Roman" w:cs="Times New Roman" w:eastAsia="Times New Roman"/>
          <w:sz w:val="22"/>
        </w:rPr>
        <w:t>List of Tables</w:t>
        <w:tab/>
        <w:t>vii</w:t>
      </w:r>
    </w:p>
    <w:p>
      <w:pPr>
        <w:tabs>
          <w:tab w:pos="9071" w:val="right" w:leader="dot"/>
        </w:tabs>
        <w:spacing w:after="80"/>
      </w:pPr>
      <w:r>
        <w:rPr>
          <w:rFonts w:ascii="Times New Roman" w:hAnsi="Times New Roman" w:cs="Times New Roman" w:eastAsia="Times New Roman"/>
          <w:sz w:val="22"/>
        </w:rPr>
        <w:t>Abbreviations</w:t>
        <w:tab/>
        <w:t>viii</w:t>
      </w:r>
    </w:p>
    <w:p>
      <w:pPr>
        <w:tabs>
          <w:tab w:pos="9071" w:val="right" w:leader="dot"/>
        </w:tabs>
        <w:spacing w:after="80"/>
      </w:pPr>
      <w:r>
        <w:rPr>
          <w:rFonts w:ascii="Times New Roman" w:hAnsi="Times New Roman" w:cs="Times New Roman" w:eastAsia="Times New Roman"/>
          <w:b/>
          <w:sz w:val="22"/>
        </w:rPr>
        <w:t>Chapter 1  Introduction</w:t>
        <w:tab/>
        <w:t>1</w:t>
      </w:r>
    </w:p>
    <w:p>
      <w:pPr>
        <w:tabs>
          <w:tab w:pos="9071" w:val="right" w:leader="dot"/>
        </w:tabs>
        <w:spacing w:after="80"/>
      </w:pPr>
      <w:r>
        <w:rPr>
          <w:rFonts w:ascii="Times New Roman" w:hAnsi="Times New Roman" w:cs="Times New Roman" w:eastAsia="Times New Roman"/>
          <w:b/>
          <w:sz w:val="22"/>
        </w:rPr>
        <w:t>Chapter 2  Methodology</w:t>
        <w:tab/>
        <w:t>3</w:t>
      </w:r>
    </w:p>
    <w:p>
      <w:pPr>
        <w:tabs>
          <w:tab w:pos="9071" w:val="right" w:leader="dot"/>
        </w:tabs>
        <w:spacing w:after="80"/>
      </w:pPr>
      <w:r>
        <w:rPr>
          <w:rFonts w:ascii="Times New Roman" w:hAnsi="Times New Roman" w:cs="Times New Roman" w:eastAsia="Times New Roman"/>
          <w:sz w:val="22"/>
        </w:rPr>
        <w:t xml:space="preserve">    2.1  Two-stage pipeline</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5</w:t>
      </w:r>
    </w:p>
    <w:p>
      <w:pPr>
        <w:tabs>
          <w:tab w:pos="9071" w:val="right" w:leader="dot"/>
        </w:tabs>
        <w:spacing w:after="80"/>
      </w:pPr>
      <w:r>
        <w:rPr>
          <w:rFonts w:ascii="Times New Roman" w:hAnsi="Times New Roman" w:cs="Times New Roman" w:eastAsia="Times New Roman"/>
          <w:sz w:val="22"/>
        </w:rPr>
        <w:t xml:space="preserve">    2.3  Feature engineering</w:t>
        <w:tab/>
        <w:t>9</w:t>
      </w:r>
    </w:p>
    <w:p>
      <w:pPr>
        <w:tabs>
          <w:tab w:pos="9071" w:val="right" w:leader="dot"/>
        </w:tabs>
        <w:spacing w:after="80"/>
      </w:pPr>
      <w:r>
        <w:rPr>
          <w:rFonts w:ascii="Times New Roman" w:hAnsi="Times New Roman" w:cs="Times New Roman" w:eastAsia="Times New Roman"/>
          <w:sz w:val="22"/>
        </w:rPr>
        <w:t xml:space="preserve">    2.4  Machine-learning models</w:t>
        <w:tab/>
        <w:t>11</w:t>
      </w:r>
    </w:p>
    <w:p>
      <w:pPr>
        <w:tabs>
          <w:tab w:pos="9071" w:val="right" w:leader="dot"/>
        </w:tabs>
        <w:spacing w:after="80"/>
      </w:pPr>
      <w:r>
        <w:rPr>
          <w:rFonts w:ascii="Times New Roman" w:hAnsi="Times New Roman" w:cs="Times New Roman" w:eastAsia="Times New Roman"/>
          <w:b/>
          <w:sz w:val="22"/>
        </w:rPr>
        <w:t>Chapter 3  Work Done</w:t>
        <w:tab/>
        <w:t>13</w:t>
      </w:r>
    </w:p>
    <w:p>
      <w:pPr>
        <w:tabs>
          <w:tab w:pos="9071" w:val="right" w:leader="dot"/>
        </w:tabs>
        <w:spacing w:after="80"/>
      </w:pPr>
      <w:r>
        <w:rPr>
          <w:rFonts w:ascii="Times New Roman" w:hAnsi="Times New Roman" w:cs="Times New Roman" w:eastAsia="Times New Roman"/>
          <w:sz w:val="22"/>
        </w:rPr>
        <w:t xml:space="preserve">    3.1  Data collection and cleaning</w:t>
        <w:tab/>
        <w:t>13</w:t>
      </w:r>
    </w:p>
    <w:p>
      <w:pPr>
        <w:tabs>
          <w:tab w:pos="9071" w:val="right" w:leader="dot"/>
        </w:tabs>
        <w:spacing w:after="80"/>
      </w:pPr>
      <w:r>
        <w:rPr>
          <w:rFonts w:ascii="Times New Roman" w:hAnsi="Times New Roman" w:cs="Times New Roman" w:eastAsia="Times New Roman"/>
          <w:sz w:val="22"/>
        </w:rPr>
        <w:t xml:space="preserve">    3.2  Statistical analysis</w:t>
        <w:tab/>
        <w:t>14</w:t>
      </w:r>
    </w:p>
    <w:p>
      <w:pPr>
        <w:tabs>
          <w:tab w:pos="9071" w:val="right" w:leader="dot"/>
        </w:tabs>
        <w:spacing w:after="80"/>
      </w:pPr>
      <w:r>
        <w:rPr>
          <w:rFonts w:ascii="Times New Roman" w:hAnsi="Times New Roman" w:cs="Times New Roman" w:eastAsia="Times New Roman"/>
          <w:sz w:val="22"/>
        </w:rPr>
        <w:t xml:space="preserve">    3.3  Model training and evaluation</w:t>
        <w:tab/>
        <w:t>15</w:t>
      </w:r>
    </w:p>
    <w:p>
      <w:pPr>
        <w:tabs>
          <w:tab w:pos="9071" w:val="right" w:leader="dot"/>
        </w:tabs>
        <w:spacing w:after="80"/>
      </w:pPr>
      <w:r>
        <w:rPr>
          <w:rFonts w:ascii="Times New Roman" w:hAnsi="Times New Roman" w:cs="Times New Roman" w:eastAsia="Times New Roman"/>
          <w:sz w:val="22"/>
        </w:rPr>
        <w:t xml:space="preserve">    3.4  Interactive web application</w:t>
        <w:tab/>
        <w:t>16</w:t>
      </w:r>
    </w:p>
    <w:p>
      <w:pPr>
        <w:tabs>
          <w:tab w:pos="9071" w:val="right" w:leader="dot"/>
        </w:tabs>
        <w:spacing w:after="80"/>
      </w:pPr>
      <w:r>
        <w:rPr>
          <w:rFonts w:ascii="Times New Roman" w:hAnsi="Times New Roman" w:cs="Times New Roman" w:eastAsia="Times New Roman"/>
          <w:b/>
          <w:sz w:val="22"/>
        </w:rPr>
        <w:t>Chapter 4  Results and Discussion</w:t>
        <w:tab/>
        <w:t>17</w:t>
      </w:r>
    </w:p>
    <w:p>
      <w:pPr>
        <w:tabs>
          <w:tab w:pos="9071" w:val="right" w:leader="dot"/>
        </w:tabs>
        <w:spacing w:after="80"/>
      </w:pPr>
      <w:r>
        <w:rPr>
          <w:rFonts w:ascii="Times New Roman" w:hAnsi="Times New Roman" w:cs="Times New Roman" w:eastAsia="Times New Roman"/>
          <w:sz w:val="22"/>
        </w:rPr>
        <w:t xml:space="preserve">    4.1  Sample profile</w:t>
        <w:tab/>
        <w:t>17</w:t>
      </w:r>
    </w:p>
    <w:p>
      <w:pPr>
        <w:tabs>
          <w:tab w:pos="9071" w:val="right" w:leader="dot"/>
        </w:tabs>
        <w:spacing w:after="80"/>
      </w:pPr>
      <w:r>
        <w:rPr>
          <w:rFonts w:ascii="Times New Roman" w:hAnsi="Times New Roman" w:cs="Times New Roman" w:eastAsia="Times New Roman"/>
          <w:sz w:val="22"/>
        </w:rPr>
        <w:t xml:space="preserve">    4.2  Discomfort prevalence</w:t>
        <w:tab/>
        <w:t>19</w:t>
      </w:r>
    </w:p>
    <w:p>
      <w:pPr>
        <w:tabs>
          <w:tab w:pos="9071" w:val="right" w:leader="dot"/>
        </w:tabs>
        <w:spacing w:after="80"/>
      </w:pPr>
      <w:r>
        <w:rPr>
          <w:rFonts w:ascii="Times New Roman" w:hAnsi="Times New Roman" w:cs="Times New Roman" w:eastAsia="Times New Roman"/>
          <w:sz w:val="22"/>
        </w:rPr>
        <w:t xml:space="preserve">    4.3  Risk factor distributions</w:t>
        <w:tab/>
        <w:t>22</w:t>
      </w:r>
    </w:p>
    <w:p>
      <w:pPr>
        <w:tabs>
          <w:tab w:pos="9071" w:val="right" w:leader="dot"/>
        </w:tabs>
        <w:spacing w:after="80"/>
      </w:pPr>
      <w:r>
        <w:rPr>
          <w:rFonts w:ascii="Times New Roman" w:hAnsi="Times New Roman" w:cs="Times New Roman" w:eastAsia="Times New Roman"/>
          <w:sz w:val="22"/>
        </w:rPr>
        <w:t xml:space="preserve">    4.4  Correlation structure</w:t>
        <w:tab/>
        <w:t>24</w:t>
      </w:r>
    </w:p>
    <w:p>
      <w:pPr>
        <w:tabs>
          <w:tab w:pos="9071" w:val="right" w:leader="dot"/>
        </w:tabs>
        <w:spacing w:after="80"/>
      </w:pPr>
      <w:r>
        <w:rPr>
          <w:rFonts w:ascii="Times New Roman" w:hAnsi="Times New Roman" w:cs="Times New Roman" w:eastAsia="Times New Roman"/>
          <w:sz w:val="22"/>
        </w:rPr>
        <w:t xml:space="preserve">    4.5  Model performance</w:t>
        <w:tab/>
        <w:t>25</w:t>
      </w:r>
    </w:p>
    <w:p>
      <w:pPr>
        <w:tabs>
          <w:tab w:pos="9071" w:val="right" w:leader="dot"/>
        </w:tabs>
        <w:spacing w:after="80"/>
      </w:pPr>
      <w:r>
        <w:rPr>
          <w:rFonts w:ascii="Times New Roman" w:hAnsi="Times New Roman" w:cs="Times New Roman" w:eastAsia="Times New Roman"/>
          <w:sz w:val="22"/>
        </w:rPr>
        <w:t xml:space="preserve">    4.6  Feature importance</w:t>
        <w:tab/>
        <w:t>28</w:t>
      </w:r>
    </w:p>
    <w:p>
      <w:pPr>
        <w:tabs>
          <w:tab w:pos="9071" w:val="right" w:leader="dot"/>
        </w:tabs>
        <w:spacing w:after="80"/>
      </w:pPr>
      <w:r>
        <w:rPr>
          <w:rFonts w:ascii="Times New Roman" w:hAnsi="Times New Roman" w:cs="Times New Roman" w:eastAsia="Times New Roman"/>
          <w:sz w:val="22"/>
        </w:rPr>
        <w:t xml:space="preserve">    4.7  Web application walkthrough</w:t>
        <w:tab/>
        <w:t>29</w:t>
      </w:r>
    </w:p>
    <w:p>
      <w:pPr>
        <w:tabs>
          <w:tab w:pos="9071" w:val="right" w:leader="dot"/>
        </w:tabs>
        <w:spacing w:after="80"/>
      </w:pPr>
      <w:r>
        <w:rPr>
          <w:rFonts w:ascii="Times New Roman" w:hAnsi="Times New Roman" w:cs="Times New Roman" w:eastAsia="Times New Roman"/>
          <w:b/>
          <w:sz w:val="22"/>
        </w:rPr>
        <w:t>Chapter 5  Conclusions and Extensions</w:t>
        <w:tab/>
        <w:t>34</w:t>
      </w:r>
    </w:p>
    <w:p>
      <w:pPr>
        <w:tabs>
          <w:tab w:pos="9071" w:val="right" w:leader="dot"/>
        </w:tabs>
        <w:spacing w:after="80"/>
      </w:pPr>
      <w:r>
        <w:rPr>
          <w:rFonts w:ascii="Times New Roman" w:hAnsi="Times New Roman" w:cs="Times New Roman" w:eastAsia="Times New Roman"/>
          <w:sz w:val="22"/>
        </w:rPr>
        <w:t>Bibliography</w:t>
        <w:tab/>
        <w:t>35</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across gender, age band, delivery platform, vehicle type,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of independence between each risk factor and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pgSz w:w="12240" w:h="15840"/>
          <w:pgMar w:top="1417" w:right="1417" w:bottom="1417" w:left="1417" w:header="720" w:footer="720" w:gutter="0"/>
          <w:cols w:space="720"/>
          <w:docGrid w:linePitch="360"/>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2"/>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w:t>
      </w:r>
    </w:p>
    <w:p>
      <w:pPr>
        <w:pStyle w:val="ListBullet"/>
        <w:spacing w:after="60"/>
      </w:pPr>
      <w:r>
        <w:rPr>
          <w:rFonts w:ascii="Times New Roman" w:hAnsi="Times New Roman" w:cs="Times New Roman" w:eastAsia="Times New Roman"/>
          <w:sz w:val="22"/>
        </w:rPr>
        <w:t>LogisticRegression with L2 regularisation and balanced class weights.</w:t>
      </w:r>
    </w:p>
    <w:p>
      <w:pPr>
        <w:pStyle w:val="ListBullet"/>
        <w:spacing w:after="60"/>
      </w:pPr>
      <w:r>
        <w:rPr>
          <w:rFonts w:ascii="Times New Roman" w:hAnsi="Times New Roman" w:cs="Times New Roman" w:eastAsia="Times New Roman"/>
          <w:sz w:val="22"/>
        </w:rPr>
        <w:t>DecisionTreeClassifier with tuned max_depth and min_samples_leaf.</w:t>
      </w:r>
    </w:p>
    <w:p>
      <w:pPr>
        <w:pStyle w:val="ListBullet"/>
        <w:spacing w:after="60"/>
      </w:pPr>
      <w:r>
        <w:rPr>
          <w:rFonts w:ascii="Times New Roman" w:hAnsi="Times New Roman" w:cs="Times New Roman" w:eastAsia="Times New Roman"/>
          <w:sz w:val="22"/>
        </w:rPr>
        <w:t>RandomForestClassifier with 300 or 500 trees.</w:t>
      </w:r>
    </w:p>
    <w:p>
      <w:pPr>
        <w:pStyle w:val="ListBullet"/>
        <w:spacing w:after="60"/>
      </w:pPr>
      <w:r>
        <w:rPr>
          <w:rFonts w:ascii="Times New Roman" w:hAnsi="Times New Roman" w:cs="Times New Roman" w:eastAsia="Times New Roman"/>
          <w:sz w:val="22"/>
        </w:rPr>
        <w:t>ExtraTreesClassifier (extremely randomised trees).</w:t>
      </w:r>
    </w:p>
    <w:p>
      <w:pPr>
        <w:pStyle w:val="ListBullet"/>
        <w:spacing w:after="60"/>
      </w:pPr>
      <w:r>
        <w:rPr>
          <w:rFonts w:ascii="Times New Roman" w:hAnsi="Times New Roman" w:cs="Times New Roman" w:eastAsia="Times New Roman"/>
          <w:sz w:val="22"/>
        </w:rPr>
        <w:t>HistGradientBoostingClassifier with histogram-binned gradient boosting.</w:t>
      </w:r>
    </w:p>
    <w:p>
      <w:pPr>
        <w:pStyle w:val="ListBullet"/>
        <w:spacing w:after="60"/>
      </w:pPr>
      <w:r>
        <w:rPr>
          <w:rFonts w:ascii="Times New Roman" w:hAnsi="Times New Roman" w:cs="Times New Roman" w:eastAsia="Times New Roman"/>
          <w:sz w:val="22"/>
        </w:rPr>
        <w:t>XGBClassifier with the multi-class log-loss objective.</w:t>
      </w:r>
    </w:p>
    <w:p>
      <w:pPr>
        <w:pStyle w:val="ListBullet"/>
        <w:spacing w:after="60"/>
      </w:pPr>
      <w:r>
        <w:rPr>
          <w:rFonts w:ascii="Times New Roman" w:hAnsi="Times New Roman" w:cs="Times New Roman" w:eastAsia="Times New Roman"/>
          <w:sz w:val="22"/>
        </w:rPr>
        <w:t>StackingClassifier that combines RF, ExtraTrees, XGBoost, and HistGBM with a Logistic Regression meta-learner.</w:t>
      </w:r>
    </w:p>
    <w:p>
      <w:pPr>
        <w:spacing w:after="160" w:line="336" w:lineRule="auto"/>
        <w:jc w:val="both"/>
      </w:pPr>
      <w:r>
        <w:rPr>
          <w:rFonts w:ascii="Times New Roman" w:hAnsi="Times New Roman" w:cs="Times New Roman" w:eastAsia="Times New Roman"/>
          <w:sz w:val="22"/>
        </w:rPr>
        <w:t>Every candidate runs inside an imblearn.Pipeline of SMOTE followed by the classifier so oversampling happens on training folds only. Hyperparameters are tuned with GridSearchCV on macro-F1 using StratifiedKFold(5, shuffle=True, random_state=42). SMOTE's k_neighbors is set per target so it never exceeds the minority training-fold count. The best-by-F1 model per target is refit on the full sample and saved to outputs/models/best_&lt;factor&gt;.pkl. Section 2.6.1 lists the per-target exclusion rule.</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Pipeline implementation</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Feature engineering details</w:t>
      </w:r>
    </w:p>
    <w:p>
      <w:pPr>
        <w:spacing w:after="160" w:line="336" w:lineRule="auto"/>
        <w:jc w:val="both"/>
      </w:pPr>
      <w:r>
        <w:rPr>
          <w:rFonts w:ascii="Times New Roman" w:hAnsi="Times New Roman" w:cs="Times New Roman" w:eastAsia="Times New Roman"/>
          <w:sz w:val="22"/>
        </w:rPr>
        <w:t>The final model_ready.csv contains 182 rows and 121 columns. The engineered feature families are:</w:t>
      </w:r>
    </w:p>
    <w:p>
      <w:pPr>
        <w:pStyle w:val="ListBullet"/>
        <w:spacing w:after="60"/>
      </w:pPr>
      <w:r>
        <w:rPr>
          <w:rFonts w:ascii="Times New Roman" w:hAnsi="Times New Roman" w:cs="Times New Roman" w:eastAsia="Times New Roman"/>
          <w:sz w:val="22"/>
        </w:rPr>
        <w:t>Ordinal encodings for age band, education, income, job duration, hours, days, deliveries, and rest break, each mapped to consecutive integers preserving order.</w:t>
      </w:r>
    </w:p>
    <w:p>
      <w:pPr>
        <w:pStyle w:val="ListBullet"/>
        <w:spacing w:after="60"/>
      </w:pPr>
      <w:r>
        <w:rPr>
          <w:rFonts w:ascii="Times New Roman" w:hAnsi="Times New Roman" w:cs="Times New Roman" w:eastAsia="Times New Roman"/>
          <w:sz w:val="22"/>
        </w:rPr>
        <w:t>Numeric midpoints for bin ranges that will feed formulae (work_hours_num, deliveries_num, work_days_num, rest_break_num).</w:t>
      </w:r>
    </w:p>
    <w:p>
      <w:pPr>
        <w:pStyle w:val="ListBullet"/>
        <w:spacing w:after="60"/>
      </w:pPr>
      <w:r>
        <w:rPr>
          <w:rFonts w:ascii="Times New Roman" w:hAnsi="Times New Roman" w:cs="Times New Roman" w:eastAsia="Times New Roman"/>
          <w:sz w:val="22"/>
        </w:rPr>
        <w:t>Vehicle and carrying mode ranks (motorbike higher than scooter for vibration; handheld higher than storage box for contact).</w:t>
      </w:r>
    </w:p>
    <w:p>
      <w:pPr>
        <w:pStyle w:val="ListBullet"/>
        <w:spacing w:after="60"/>
      </w:pPr>
      <w:r>
        <w:rPr>
          <w:rFonts w:ascii="Times New Roman" w:hAnsi="Times New Roman" w:cs="Times New Roman" w:eastAsia="Times New Roman"/>
          <w:sz w:val="22"/>
        </w:rPr>
        <w:t>Short-named binary aliases for the 18 NMQ, 7-day, and outcome items (nmq_*, d7_*, out_*).</w:t>
      </w:r>
    </w:p>
    <w:p>
      <w:pPr>
        <w:pStyle w:val="ListBullet"/>
        <w:spacing w:after="60"/>
      </w:pPr>
      <w:r>
        <w:rPr>
          <w:rFonts w:ascii="Times New Roman" w:hAnsi="Times New Roman" w:cs="Times New Roman" w:eastAsia="Times New Roman"/>
          <w:sz w:val="22"/>
        </w:rPr>
        <w:t>Composite scores: workload_score (NASA-TLX mean with satisfaction reversed), fatigue_score (Borg CR10 mean), force_exertion (Borg lifting), vibration_index (vehicle_rank times work_hours_num).</w:t>
      </w:r>
    </w:p>
    <w:p>
      <w:pPr>
        <w:pStyle w:val="ListBullet"/>
        <w:spacing w:after="60"/>
      </w:pPr>
      <w:r>
        <w:rPr>
          <w:rFonts w:ascii="Times New Roman" w:hAnsi="Times New Roman" w:cs="Times New Roman" w:eastAsia="Times New Roman"/>
          <w:sz w:val="22"/>
        </w:rPr>
        <w:t>Five product-form interactions: workload_x_fatigue, workload_x_age, force_x_age, fatigue_x_jobdur, deliv_x_days.</w:t>
      </w:r>
    </w:p>
    <w:p>
      <w:pPr>
        <w:pStyle w:val="ListBullet"/>
        <w:spacing w:after="60"/>
      </w:pPr>
      <w:r>
        <w:rPr>
          <w:rFonts w:ascii="Times New Roman" w:hAnsi="Times New Roman" w:cs="Times New Roman" w:eastAsia="Times New Roman"/>
          <w:sz w:val="22"/>
        </w:rPr>
        <w:t>Severity-rank merge with the posture xlsx: 11 RULA components, 3 RULA derived scores, and 8 QEC scores added per rider based on rank-to-rank pairing.</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Model training</w:t>
      </w:r>
    </w:p>
    <w:p>
      <w:pPr>
        <w:spacing w:after="160" w:line="336" w:lineRule="auto"/>
        <w:jc w:val="both"/>
      </w:pPr>
      <w:r>
        <w:rPr>
          <w:rFonts w:ascii="Times New Roman" w:hAnsi="Times New Roman" w:cs="Times New Roman" w:eastAsia="Times New Roman"/>
          <w:sz w:val="22"/>
        </w:rPr>
        <w:t>Every one of the seven candidate algorithms is wrapped in an imblearn.Pipeline([SMOTE, classifier]) and hyperparameter-tuned via GridSearchCV with scoring='f1_macro' and cv=StratifiedKFold(5, shuffle=True, random_state=42). The best-by-F1 algorithm per target is refit on the full sample. The refit pipeline is persisted with joblib.dump into outputs/models/best_&lt;factor&gt;.pkl as a dict containing the fitted model, the ordered feature list, and the original class codes for label mapping at prediction time.</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Web application development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(0-100) and Borg CR10 (0-10); selectboxes cover RULA components; number inputs cover the QEC scores with min/max ranges matched to the observed training data. Three sample-profile buttons (Low, Average, High risk) pre-fill the entire form so the mentor can trigger a prediction in a single click.</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output is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fed to the models.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3.5.1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3.5.2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3.5.3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3"/>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across gender, age band, delivery platform, vehicle type,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4"/>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5"/>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of independence between each risk factor and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6"/>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0"/>
      <w:footerReference w:type="default" r:id="rId11"/>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787" w:val="right"/>
      </w:tabs>
      <w:pBdr>
        <w:top w:val="single" w:sz="6" w:space="1" w:color="000000"/>
      </w:pBdr>
    </w:pPr>
    <w:r>
      <w:rPr>
        <w:rFonts w:ascii="Times New Roman" w:hAnsi="Times New Roman" w:cs="Times New Roman" w:eastAsia="Times New Roman"/>
        <w:sz w:val="20"/>
      </w:rPr>
      <w:t>School of Interdisciplinary Design and Innovation (SIDI), IIITDM Kancheepuram, July 2026</w:t>
    </w:r>
    <w:r>
      <w:tab/>
    </w: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787" w:val="right"/>
      </w:tabs>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r>
      <w:tab/>
    </w:r>
    <w:r>
      <w:rPr>
        <w:rFonts w:ascii="Times New Roman" w:hAnsi="Times New Roman" w:cs="Times New Roman" w:eastAsia="Times New Roman"/>
        <w:b/>
        <w:sz w:val="20"/>
      </w:rPr>
      <w:t>AILA VISHNU VARDHAN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