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IIITDM-SIES Programme</w:t>
      </w:r>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6F401A4A" w14:textId="77777777" w:rsidR="00764335" w:rsidRDefault="00764335">
      <w:pPr>
        <w:spacing w:after="160" w:line="336" w:lineRule="auto"/>
        <w:jc w:val="both"/>
        <w:rPr>
          <w:rFonts w:eastAsia="Times New Roman" w:cs="Times New Roman"/>
        </w:rPr>
      </w:pPr>
      <w:r w:rsidRPr="00764335">
        <w:rPr>
          <w:rFonts w:eastAsia="Times New Roman" w:cs="Times New Roman"/>
        </w:rPr>
        <w:t>Delivery riders working for companies such as Blinkit and Zepto have to tend to their customers while standing in uncomfortable body shapes for a long time or transporting heavy loads, which may result in musculoskeletal disorders. Risk varies across the people involved in the delivery: age, experience, working hours, the type of vehicle, and carrying methods influence the level of risk experienced by every rider, but the companies providing the delivery services do not pay attention to this difference. Different ergonomic approaches capture only certain aspects of the situation: on the one hand, some methods (RULA and QEC) are applicable to direct observations, while others, like Borg CR10, NMQ, and NASA-TLX apply to self-reporting methods. This paradigm enables the authors to offer automated screening based on a study involving 182 riders from the city of Chengalpattu and Chennai conducted in March and April 2026</w:t>
      </w:r>
    </w:p>
    <w:p w14:paraId="04B7B126" w14:textId="768BE0E8" w:rsidR="00BF1F9D" w:rsidRDefault="00000000">
      <w:pPr>
        <w:spacing w:after="160" w:line="336" w:lineRule="auto"/>
        <w:jc w:val="both"/>
      </w:pPr>
      <w:r>
        <w:rPr>
          <w:rFonts w:eastAsia="Times New Roman" w:cs="Times New Roman"/>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14:paraId="2ECC4011" w14:textId="7EB380DC" w:rsidR="005D72BC" w:rsidRDefault="005D72BC">
      <w:pPr>
        <w:spacing w:after="160" w:line="336" w:lineRule="auto"/>
        <w:jc w:val="both"/>
      </w:pPr>
      <w:r w:rsidRPr="005D72BC">
        <w:t>The five factors which were taken from the survey received a validation accuracy of 58-62% and a macro AUC of 71-76%. The Posture model which incorporates 11 components of RULA and 8 QEC scores in addition to the results received an accuracy of 97% and AUC of 98%. Statistical analysis including chi-square and multiple logistic regression determined that the most powerful individual predictors of self-reported discomfort are age, length of work history, workload score and fatigue score. The final product is a Streamlit web application that takes a complete questionnaire of 36 items together with RULA and QEC results and produces six levels of risk and offers recommendations by factors.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t>i</w:t>
      </w:r>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654FEB10" w:rsidR="00BF1F9D" w:rsidRDefault="00000000">
      <w:pPr>
        <w:tabs>
          <w:tab w:val="right" w:leader="dot" w:pos="9071"/>
        </w:tabs>
        <w:spacing w:after="80"/>
      </w:pPr>
      <w:r>
        <w:rPr>
          <w:rFonts w:eastAsia="Times New Roman" w:cs="Times New Roman"/>
        </w:rPr>
        <w:t>Contents</w:t>
      </w:r>
      <w:r>
        <w:rPr>
          <w:rFonts w:eastAsia="Times New Roman" w:cs="Times New Roman"/>
        </w:rPr>
        <w:tab/>
        <w:t>iv</w:t>
      </w:r>
      <w:r w:rsidR="006827D3">
        <w:rPr>
          <w:rFonts w:eastAsia="Times New Roman" w:cs="Times New Roman"/>
        </w:rPr>
        <w:t>-v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vi</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ix</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1</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4</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5</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5</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5</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5</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XGBoost</w:t>
      </w:r>
      <w:r>
        <w:rPr>
          <w:rFonts w:eastAsia="Times New Roman" w:cs="Times New Roman"/>
        </w:rPr>
        <w:tab/>
        <w:t>6</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6</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6</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6</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6</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7</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7</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8</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11</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13</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14</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15</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17</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19</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20</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12</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12</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13</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14</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15</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15</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16</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17</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17</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18</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18</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18</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6</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11</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12</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13</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13</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14</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15</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16</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Winning hyperparameters per target after GridSearchCV.</w:t>
      </w:r>
      <w:r>
        <w:rPr>
          <w:rFonts w:eastAsia="Times New Roman" w:cs="Times New Roman"/>
        </w:rPr>
        <w:tab/>
        <w:t>16</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r>
        <w:rPr>
          <w:rFonts w:eastAsia="Times New Roman" w:cs="Times New Roman"/>
          <w:b/>
        </w:rPr>
        <w:t>HistGBM</w:t>
      </w:r>
      <w:r>
        <w:rPr>
          <w:rFonts w:eastAsia="Times New Roman" w:cs="Times New Roman"/>
        </w:rPr>
        <w:tab/>
        <w:t>Histogram-based Gradient Boosting Machine</w:t>
      </w:r>
    </w:p>
    <w:p w14:paraId="296A67D4" w14:textId="77777777" w:rsidR="00BF1F9D" w:rsidRDefault="00000000">
      <w:pPr>
        <w:tabs>
          <w:tab w:val="left" w:pos="1984"/>
        </w:tabs>
        <w:spacing w:after="60"/>
      </w:pPr>
      <w:r>
        <w:rPr>
          <w:rFonts w:eastAsia="Times New Roman" w:cs="Times New Roman"/>
          <w:b/>
        </w:rPr>
        <w:t>XGBoost</w:t>
      </w:r>
      <w:r>
        <w:rPr>
          <w:rFonts w:eastAsia="Times New Roman" w:cs="Times New Roman"/>
        </w:rPr>
        <w:tab/>
        <w:t>eXtreme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r>
        <w:rPr>
          <w:rFonts w:eastAsia="Times New Roman" w:cs="Times New Roman"/>
          <w:b/>
        </w:rPr>
        <w:t>dph</w:t>
      </w:r>
      <w:r>
        <w:rPr>
          <w:rFonts w:eastAsia="Times New Roman" w:cs="Times New Roman"/>
        </w:rPr>
        <w:tab/>
        <w:t>Deliveries Per Hour</w:t>
      </w:r>
    </w:p>
    <w:p w14:paraId="4DE265F1" w14:textId="77777777" w:rsidR="00BF1F9D" w:rsidRDefault="00000000">
      <w:pPr>
        <w:tabs>
          <w:tab w:val="left" w:pos="1984"/>
        </w:tabs>
        <w:spacing w:after="60"/>
      </w:pPr>
      <w:r>
        <w:rPr>
          <w:b/>
        </w:rPr>
        <w:t>MSK</w:t>
      </w:r>
      <w:r>
        <w:tab/>
        <w:t>Musculoskeletal</w:t>
      </w:r>
    </w:p>
    <w:p w14:paraId="016D9ECE" w14:textId="77777777" w:rsidR="00BF1F9D" w:rsidRDefault="00000000">
      <w:pPr>
        <w:tabs>
          <w:tab w:val="left" w:pos="1984"/>
        </w:tabs>
        <w:spacing w:after="60"/>
      </w:pPr>
      <w:r>
        <w:rPr>
          <w:b/>
        </w:rPr>
        <w:t>CR10</w:t>
      </w:r>
      <w:r>
        <w:tab/>
        <w:t>Category-Ratio 10-point scale (Borg)</w:t>
      </w:r>
    </w:p>
    <w:p w14:paraId="6571E68D" w14:textId="77777777" w:rsidR="00BF1F9D" w:rsidRDefault="00000000">
      <w:pPr>
        <w:tabs>
          <w:tab w:val="left" w:pos="1984"/>
        </w:tabs>
        <w:spacing w:after="60"/>
      </w:pPr>
      <w:r>
        <w:rPr>
          <w:b/>
        </w:rPr>
        <w:t>RF</w:t>
      </w:r>
      <w:r>
        <w:tab/>
        <w:t>Random Forest</w:t>
      </w:r>
    </w:p>
    <w:p w14:paraId="5DA6A562" w14:textId="77777777" w:rsidR="00BF1F9D" w:rsidRDefault="00000000">
      <w:pPr>
        <w:tabs>
          <w:tab w:val="left" w:pos="1984"/>
        </w:tabs>
        <w:spacing w:after="60"/>
      </w:pPr>
      <w:r>
        <w:rPr>
          <w:b/>
        </w:rPr>
        <w:t>ET</w:t>
      </w:r>
      <w:r>
        <w:tab/>
        <w:t>Extra Trees</w:t>
      </w:r>
    </w:p>
    <w:p w14:paraId="5D239710" w14:textId="77777777" w:rsidR="00BF1F9D" w:rsidRDefault="00000000">
      <w:pPr>
        <w:tabs>
          <w:tab w:val="left" w:pos="1984"/>
        </w:tabs>
        <w:spacing w:after="60"/>
      </w:pPr>
      <w:r>
        <w:rPr>
          <w:b/>
        </w:rPr>
        <w:t>LR</w:t>
      </w:r>
      <w:r>
        <w:tab/>
        <w:t>Logistic Regression</w:t>
      </w:r>
    </w:p>
    <w:p w14:paraId="39672152" w14:textId="77777777" w:rsidR="00BF1F9D" w:rsidRDefault="00000000">
      <w:pPr>
        <w:tabs>
          <w:tab w:val="left" w:pos="1984"/>
        </w:tabs>
        <w:spacing w:after="60"/>
      </w:pPr>
      <w:r>
        <w:rPr>
          <w:b/>
        </w:rPr>
        <w:t>DT</w:t>
      </w:r>
      <w:r>
        <w:tab/>
        <w:t>Decision Tree</w:t>
      </w:r>
    </w:p>
    <w:p w14:paraId="44761ED4" w14:textId="77777777" w:rsidR="00BF1F9D" w:rsidRDefault="00000000">
      <w:pPr>
        <w:tabs>
          <w:tab w:val="left" w:pos="1984"/>
        </w:tabs>
        <w:spacing w:after="60"/>
      </w:pPr>
      <w:r>
        <w:rPr>
          <w:b/>
        </w:rPr>
        <w:t>GBM</w:t>
      </w:r>
      <w:r>
        <w:tab/>
        <w:t>Gradient Boosting Machine</w:t>
      </w:r>
    </w:p>
    <w:p w14:paraId="02899545" w14:textId="77777777" w:rsidR="00BF1F9D" w:rsidRDefault="00000000">
      <w:pPr>
        <w:tabs>
          <w:tab w:val="left" w:pos="1984"/>
        </w:tabs>
        <w:spacing w:after="60"/>
      </w:pPr>
      <w:r>
        <w:rPr>
          <w:b/>
        </w:rPr>
        <w:t>OvR</w:t>
      </w:r>
      <w:r>
        <w:tab/>
        <w:t>One-vs-Rest</w:t>
      </w:r>
    </w:p>
    <w:p w14:paraId="73301AE8" w14:textId="77777777" w:rsidR="00BF1F9D" w:rsidRDefault="00000000">
      <w:pPr>
        <w:tabs>
          <w:tab w:val="left" w:pos="1984"/>
        </w:tabs>
        <w:spacing w:after="60"/>
      </w:pPr>
      <w:r>
        <w:rPr>
          <w:b/>
        </w:rPr>
        <w:t>SD</w:t>
      </w:r>
      <w:r>
        <w:tab/>
        <w:t>Standard Deviation</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number of nearest minority neighbours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r>
        <w:rPr>
          <w:rFonts w:eastAsia="Times New Roman" w:cs="Times New Roman"/>
          <w:b/>
          <w:i/>
        </w:rPr>
        <w:t>dph</w:t>
      </w:r>
      <w:r>
        <w:rPr>
          <w:rFonts w:eastAsia="Times New Roman" w:cs="Times New Roman"/>
        </w:rPr>
        <w:tab/>
        <w:t>deliveries per hour, deliveries_num / work_hours_num</w:t>
      </w:r>
    </w:p>
    <w:p w14:paraId="46FB7878" w14:textId="77777777" w:rsidR="00BF1F9D" w:rsidRDefault="00000000">
      <w:pPr>
        <w:tabs>
          <w:tab w:val="left" w:pos="1984"/>
        </w:tabs>
        <w:spacing w:after="60"/>
      </w:pPr>
      <w:r>
        <w:rPr>
          <w:b/>
        </w:rPr>
        <w:t>α</w:t>
      </w:r>
      <w:r>
        <w:tab/>
        <w:t>significance threshold (α = 0.05)</w:t>
      </w:r>
    </w:p>
    <w:p w14:paraId="38496A96" w14:textId="77777777" w:rsidR="00BF1F9D" w:rsidRDefault="00000000">
      <w:pPr>
        <w:tabs>
          <w:tab w:val="left" w:pos="1984"/>
        </w:tabs>
        <w:spacing w:after="60"/>
      </w:pPr>
      <w:r>
        <w:rPr>
          <w:b/>
        </w:rPr>
        <w:t>df</w:t>
      </w:r>
      <w:r>
        <w:tab/>
        <w:t>degrees of freedom (chi-square test)</w:t>
      </w:r>
    </w:p>
    <w:p w14:paraId="738AD1E8" w14:textId="77777777" w:rsidR="00BF1F9D" w:rsidRDefault="00000000">
      <w:pPr>
        <w:tabs>
          <w:tab w:val="left" w:pos="1984"/>
        </w:tabs>
        <w:spacing w:after="60"/>
      </w:pPr>
      <w:r>
        <w:rPr>
          <w:b/>
        </w:rPr>
        <w:t>F1</w:t>
      </w:r>
      <w:r>
        <w:tab/>
        <w:t>harmonic mean of precision and recall</w:t>
      </w:r>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Last-mile quick-commerce delivery riders for platforms like Blinkit and Zepto spend long hours on bikes, climb stairs, carry packages, and ride in heavy traffic. Prior Indian last-mile MSK studies [1, 2] report similar exposure patterns among app-based delivery riders.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4D9899A" w14:textId="77777777" w:rsidR="005D72BC" w:rsidRDefault="005D72BC">
      <w:pPr>
        <w:spacing w:after="160" w:line="336" w:lineRule="auto"/>
        <w:jc w:val="both"/>
        <w:rPr>
          <w:rFonts w:eastAsia="Times New Roman" w:cs="Times New Roman"/>
        </w:rPr>
      </w:pPr>
      <w:r w:rsidRPr="005D72BC">
        <w:rPr>
          <w:rFonts w:eastAsia="Times New Roman" w:cs="Times New Roman"/>
        </w:rPr>
        <w:t>The delivery economy in India has grown rapidly in recent years. Quick-commerce riders form a large occupational group with working conditions unlike traditional warehouse or manufacturing labour: long-distance riding, carrying goods in a moving vehicle where the load position cannot be controlled, exposure to bad weather, and constant pressure from platform routing algorithms. No screening tool exists that lets a platform assess a rider on all six standard ergonomic factors from a single questionnaire.</w:t>
      </w:r>
    </w:p>
    <w:p w14:paraId="3718D4CE" w14:textId="67755C62" w:rsidR="00BF1F9D" w:rsidRDefault="005D72BC">
      <w:pPr>
        <w:spacing w:after="160" w:line="336" w:lineRule="auto"/>
        <w:jc w:val="both"/>
        <w:rPr>
          <w:rFonts w:eastAsia="Times New Roman" w:cs="Times New Roman"/>
        </w:rPr>
      </w:pPr>
      <w:r w:rsidRPr="005D72BC">
        <w:rPr>
          <w:rFonts w:eastAsia="Times New Roman" w:cs="Times New Roman"/>
        </w:rPr>
        <w:t>By producing a risk profile for each rider, platforms can intervene early: shortening shifts for high-risk riders, reviewing the equipment they use, arranging physiotherapy, and re-screening regularly. Without this approach the risks stay invisible until the rider becomes symptomatic. This project addresses that gap by combining published ergonomic assessment methods with modern classifiers into a single screening pipeline and web application.</w:t>
      </w:r>
      <w:r>
        <w:rPr>
          <w:rFonts w:eastAsia="Times New Roman" w:cs="Times New Roman"/>
        </w:rPr>
      </w:r>
    </w:p>
    <w:p w14:paraId="3ACDD2F7" w14:textId="77777777" w:rsidR="005D72BC" w:rsidRDefault="005D72BC">
      <w:pPr>
        <w:spacing w:after="160" w:line="336" w:lineRule="auto"/>
        <w:jc w:val="both"/>
      </w:pPr>
    </w:p>
    <w:p w14:paraId="4EA8AD04" w14:textId="160087E7" w:rsidR="00BF1F9D" w:rsidRDefault="00000000" w:rsidP="005D72BC">
      <w:pPr>
        <w:pStyle w:val="Heading4"/>
        <w:numPr>
          <w:ilvl w:val="1"/>
          <w:numId w:val="15"/>
        </w:numPr>
        <w:spacing w:before="280" w:after="100"/>
      </w:pPr>
      <w:r>
        <w:rPr>
          <w:rFonts w:ascii="Times New Roman" w:eastAsia="Times New Roman" w:hAnsi="Times New Roman" w:cs="Times New Roman"/>
          <w:color w:val="000000"/>
          <w:sz w:val="30"/>
        </w:rPr>
        <w:t>1.3   Objectives of the work</w:t>
      </w:r>
    </w:p>
    <w:p w14:paraId="4FB4C04F" w14:textId="77777777" w:rsidR="005D72BC" w:rsidRDefault="005D72BC" w:rsidP="005D72BC">
      <w:pPr>
        <w:pStyle w:val="ListNumber"/>
        <w:spacing w:after="60"/>
      </w:pPr>
      <w:r w:rsidRPr="005D72BC">
        <w:t>Develop a two-step pipeline that integrates data obtained from a survey of quick-commerce delivery couriers with the conventional ergonomic assessment methods (RULA and QEC) into per-courier categorizations for 6 risk indicators: Force, Repetition, Posture, Duration, Contact Stress and Vibration.</w:t>
      </w:r>
    </w:p>
    <w:p w14:paraId="328EBD91" w14:textId="2BF0CB52" w:rsidR="005D72BC" w:rsidRPr="005D72BC" w:rsidRDefault="005D72BC" w:rsidP="005D72BC">
      <w:pPr>
        <w:pStyle w:val="ListNumber"/>
        <w:spacing w:after="60"/>
      </w:pPr>
      <w:r w:rsidRPr="005D72BC">
        <w:t>Conduct the pipeline reproducibly in Python (Jupyter notebooks, scikit-learn, XGBoost, imbalanced-learn, statsmodels) with an assigned seed and the entire regeneration of the output at every part of the process.</w:t>
      </w:r>
    </w:p>
    <w:p w14:paraId="290B3D5E" w14:textId="363B5702" w:rsidR="005D72BC" w:rsidRPr="005D72BC" w:rsidRDefault="005D72BC" w:rsidP="005D72BC">
      <w:pPr>
        <w:pStyle w:val="ListNumber"/>
        <w:spacing w:after="60"/>
      </w:pPr>
      <w:r w:rsidRPr="005D72BC">
        <w:t>Train and validate 7 potential ML techniques for each of the risk indicators through 5-fold stratified cross-validation, implementing SMOTE oversampling during training using all of the folds, and give out results including the accuracy values, macro F1 and macro AUC.</w:t>
      </w:r>
    </w:p>
    <w:p w14:paraId="2F3E02E3" w14:textId="4C5D91B4" w:rsidR="005D72BC" w:rsidRPr="005D72BC" w:rsidRDefault="005D72BC" w:rsidP="005D72BC">
      <w:pPr>
        <w:pStyle w:val="ListNumber"/>
        <w:spacing w:after="60"/>
      </w:pPr>
      <w:r w:rsidRPr="005D72BC">
        <w:t>Identify issues with the methodology found during the construction of the model and take actions to fix them (class boundary degeneration within the Repetition categorization, leakage of variables within Duration model).</w:t>
      </w:r>
    </w:p>
    <w:p w14:paraId="402EF881" w14:textId="1472890D" w:rsidR="005D72BC" w:rsidRDefault="005D72BC" w:rsidP="005D72BC">
      <w:pPr>
        <w:pStyle w:val="ListNumber"/>
      </w:pPr>
      <w:r w:rsidRPr="005D72BC">
        <w:t>Deliver the created models as part of a Streamlit web service accepting information from complete and full 36-item questionnaire plus 11 items about RULA and 8 items about QEC and giving out risk measurements for every category according to 6 CTQs.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458021F6" w:rsidR="00BF1F9D" w:rsidRDefault="00000000">
      <w:pPr>
        <w:spacing w:after="160" w:line="336" w:lineRule="auto"/>
        <w:jc w:val="both"/>
      </w:pPr>
      <w:r>
        <w:rPr>
          <w:rFonts w:eastAsia="Times New Roman" w:cs="Times New Roman"/>
        </w:rPr>
        <w:t>The pipeline runs in two stages. Stage 1 assigns Low, Medium, and High labels for six ergonomic risks using deterministic rules from standard methods (Borg CR10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6225B741">
            <wp:extent cx="5222738" cy="1921689"/>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245171" cy="1929943"/>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35DF9491" w:rsidR="00BF1F9D" w:rsidRDefault="00000000">
      <w:pPr>
        <w:spacing w:after="160" w:line="336" w:lineRule="auto"/>
        <w:jc w:val="both"/>
      </w:pPr>
      <w:r>
        <w:rPr>
          <w:rFonts w:eastAsia="Times New Roman" w:cs="Times New Roman"/>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Full-time delivery partners working on either the Blinkit or the Zepto platform.</w:t>
      </w:r>
    </w:p>
    <w:p w14:paraId="1D7C90CE" w14:textId="77777777" w:rsidR="00BF1F9D" w:rsidRDefault="00000000">
      <w:pPr>
        <w:pStyle w:val="ListBullet"/>
        <w:spacing w:after="60"/>
      </w:pPr>
      <w:r>
        <w:rPr>
          <w:rFonts w:eastAsia="Times New Roman" w:cs="Times New Roman"/>
        </w:rPr>
        <w:t>Minimum three months of continuous delivery experience.</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lastRenderedPageBreak/>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3556275C" w14:textId="77777777" w:rsidR="00D80E64" w:rsidRDefault="00D80E64">
      <w:pPr>
        <w:spacing w:before="180" w:after="60"/>
        <w:rPr>
          <w:rFonts w:ascii="Times New Roman" w:eastAsia="Times New Roman" w:hAnsi="Times New Roman" w:cs="Times New Roman"/>
          <w:color w:val="auto"/>
        </w:rPr>
      </w:pPr>
      <w:r w:rsidRPr="00D80E64">
        <w:rPr>
          <w:rFonts w:ascii="Times New Roman" w:eastAsia="Times New Roman" w:hAnsi="Times New Roman" w:cs="Times New Roman"/>
          <w:color w:val="auto"/>
        </w:rPr>
        <w:t>The dataset delivery_rider_survey.csv contains the 182 responses to the 36-item questionnaire: demographics and work pattern, NMQ 12-month pain (nine body areas), 7-day discomfort restricted to four high-load rider areas (neck, lower back, wrist / hands, knees) as a space-saving modification of the standard NMQ, five discomfort follow-ups, six NASA-TLX items (0 to 100), and six Borg CR10 items (0 to 10).</w:t>
      </w:r>
    </w:p>
    <w:p w14:paraId="1E73B136" w14:textId="3EFAC4A1"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12DFB5A0" w14:textId="7FC67237" w:rsidR="00D80E64" w:rsidRDefault="00D80E64">
      <w:pPr>
        <w:spacing w:before="280" w:after="100"/>
        <w:rPr>
          <w:rFonts w:ascii="Times New Roman" w:eastAsia="Times New Roman" w:hAnsi="Times New Roman" w:cs="Times New Roman"/>
          <w:b w:val="0"/>
          <w:bCs w:val="0"/>
          <w:i w:val="0"/>
          <w:iCs w:val="0"/>
          <w:color w:val="auto"/>
        </w:rPr>
      </w:pPr>
      <w:r w:rsidRPr="00D80E64">
        <w:rPr>
          <w:rFonts w:ascii="Times New Roman" w:eastAsia="Times New Roman" w:hAnsi="Times New Roman" w:cs="Times New Roman"/>
          <w:b w:val="0"/>
          <w:bCs w:val="0"/>
          <w:i w:val="0"/>
          <w:iCs w:val="0"/>
          <w:color w:val="auto"/>
        </w:rPr>
        <w:t>The dataset posture_data.xlsx holds 182 observation records, each carrying the 11 RULA components, 3 RULA Table scores, and 8 QEC scores. The rows lack rider identifiers; pairing to the survey uses the severity-rank merge described in §2.3.</w:t>
      </w:r>
    </w:p>
    <w:p w14:paraId="6E5C27AD" w14:textId="2935E004"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3C75130B" w14:textId="77777777" w:rsidR="00E52F43" w:rsidRDefault="00000000" w:rsidP="00E52F43">
      <w:pPr>
        <w:pStyle w:val="ListBullet"/>
        <w:spacing w:after="60"/>
      </w:pPr>
      <w:r>
        <w:rPr>
          <w:rFonts w:eastAsia="Times New Roman" w:cs="Times New Roman"/>
        </w:rPr>
        <w:t>Vibration: vibration_index binned by sample tercile.</w:t>
      </w:r>
    </w:p>
    <w:p w14:paraId="09FFC0AD" w14:textId="79FB6596" w:rsidR="00BF1F9D" w:rsidRDefault="00000000" w:rsidP="00E52F43">
      <w:pPr>
        <w:pStyle w:val="ListBullet"/>
        <w:spacing w:after="60"/>
      </w:pPr>
      <w:r w:rsidRPr="00E52F43">
        <w:rPr>
          <w:rFonts w:eastAsia="Times New Roman" w:cs="Times New Roman"/>
        </w:rPr>
        <w:t>Contact Stress: carrying_contact_rank x work_hours_num x age multiplier, sample tercile.</w:t>
      </w:r>
    </w:p>
    <w:p w14:paraId="338F6EEF" w14:textId="77777777" w:rsidR="00BF1F9D" w:rsidRDefault="00000000">
      <w:pPr>
        <w:pStyle w:val="ListBullet"/>
        <w:spacing w:after="60"/>
      </w:pPr>
      <w:r>
        <w:rPr>
          <w:rFonts w:eastAsia="Times New Roman" w:cs="Times New Roman"/>
        </w:rPr>
        <w:t>Posture: RULA Table C grand score (1-2 Low, 3-4 Medium, &gt;=5 High); the High band merges standard RULA Action Levels 3 (grand score 5-6) and 4 (grand score 7).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2.5   Statistical analysis</w:t>
      </w:r>
    </w:p>
    <w:p w14:paraId="3E4AA231" w14:textId="77777777" w:rsidR="00D80E64" w:rsidRPr="002B7FCF" w:rsidRDefault="00D80E64">
      <w:pPr>
        <w:spacing w:before="280" w:after="100"/>
        <w:rPr>
          <w:rFonts w:ascii="Times New Roman" w:eastAsia="Times New Roman" w:hAnsi="Times New Roman" w:cs="Times New Roman"/>
          <w:b w:val="0"/>
          <w:bCs w:val="0"/>
          <w:i w:val="0"/>
          <w:iCs w:val="0"/>
          <w:color w:val="000000" w:themeColor="text1"/>
        </w:rPr>
      </w:pPr>
      <w:r w:rsidRPr="002B7FCF">
        <w:rPr>
          <w:rFonts w:ascii="Times New Roman" w:hAnsi="Times New Roman" w:cs="Times New Roman"/>
          <w:b w:val="0"/>
          <w:bCs w:val="0"/>
          <w:i w:val="0"/>
          <w:iCs w:val="0"/>
          <w:color w:val="000000" w:themeColor="text1"/>
        </w:rPr>
        <w:t>Phase 4 (04_eda.ipynb) then produces demographic breakdowns, per-factor risk-band distributions, Nordic 12-month discomfort prevalence, discomfort rates split by demographic and by risk level, and a Pearson correlation heatmap on 15 columns (14 numeric and ordinal features plus the discomfort outcome).</w:t>
      </w:r>
    </w:p>
    <w:p w14:paraId="21C63B83" w14:textId="77777777" w:rsidR="00D80E64" w:rsidRDefault="00D80E64">
      <w:pPr>
        <w:spacing w:before="280" w:after="100"/>
        <w:rPr>
          <w:rFonts w:ascii="Times New Roman" w:eastAsia="Times New Roman" w:hAnsi="Times New Roman" w:cs="Times New Roman"/>
          <w:b w:val="0"/>
          <w:bCs w:val="0"/>
          <w:i w:val="0"/>
          <w:iCs w:val="0"/>
          <w:color w:val="auto"/>
        </w:rPr>
      </w:pPr>
      <w:r w:rsidRPr="00D80E64">
        <w:rPr>
          <w:rFonts w:ascii="Times New Roman" w:eastAsia="Times New Roman" w:hAnsi="Times New Roman" w:cs="Times New Roman"/>
          <w:b w:val="0"/>
          <w:bCs w:val="0"/>
          <w:i w:val="0"/>
          <w:iCs w:val="0"/>
          <w:color w:val="auto"/>
        </w:rPr>
        <w:t>Phase 5 (05_stats.ipynb) comprises two analyses on discomfort i.e. the binary: pain as per NMQ for 12 months. Chi-square test (scipy.stats.chi2_contingency) is performed to see if a given risk factor is connected with discomfort at a significance level of 5%. Then multivariate logistic regression (statsmodels.api.Logit) is conducted to look at the weight of 11 determinants at a time, controlling all the others with the results displayed in odds ratios at 95% confidence intervals.</w:t>
      </w:r>
    </w:p>
    <w:p w14:paraId="26C50CC3" w14:textId="5EC4C872"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3E5A6461" w14:textId="5C653CF3" w:rsidR="00D80E64" w:rsidRDefault="00D80E64">
      <w:pPr>
        <w:spacing w:before="180" w:after="60"/>
        <w:rPr>
          <w:rFonts w:ascii="Times New Roman" w:eastAsia="Times New Roman" w:hAnsi="Times New Roman" w:cs="Times New Roman"/>
          <w:color w:val="auto"/>
        </w:rPr>
      </w:pPr>
      <w:r w:rsidRPr="00D80E64">
        <w:rPr>
          <w:rFonts w:ascii="Times New Roman" w:eastAsia="Times New Roman" w:hAnsi="Times New Roman" w:cs="Times New Roman"/>
          <w:color w:val="auto"/>
        </w:rPr>
        <w:t>Phase 6 (06_modeling.ipynb) trains a classifier per target from seven candidate algorithms. GridSearchCV tunes hyperparameters on macro-F1 inside 5-fold stratified cross-validation, and the best model per target is refit on the full sample and saved as outputs/models/best_&lt;factor&gt;.pkl.</w:t>
      </w:r>
    </w:p>
    <w:p w14:paraId="15240C9A" w14:textId="5E13F2E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15B1AA4F" w14:textId="77777777" w:rsidR="00A17C08" w:rsidRDefault="00000000" w:rsidP="00A17C08">
      <w:pPr>
        <w:spacing w:after="160" w:line="336" w:lineRule="auto"/>
        <w:jc w:val="both"/>
        <w:rPr>
          <w:rFonts w:eastAsia="Times New Roman" w:cs="Times New Roman"/>
        </w:rPr>
      </w:pPr>
      <w:r>
        <w:rPr>
          <w:rFonts w:eastAsia="Times New Roman" w:cs="Times New Roman"/>
        </w:rPr>
        <w:t>Regularised linear classifier used as the baseline (L2 penalty, class_weight balanced). Any tree-based method that fails to beat it on a factor is either overfitting or getting nothing from feature interactions.</w:t>
      </w:r>
    </w:p>
    <w:p w14:paraId="6C01B0FC" w14:textId="77777777" w:rsidR="00A17C08" w:rsidRDefault="00000000" w:rsidP="00A17C08">
      <w:pPr>
        <w:spacing w:after="160" w:line="336" w:lineRule="auto"/>
        <w:jc w:val="both"/>
        <w:rPr>
          <w:rFonts w:eastAsia="Times New Roman" w:cs="Times New Roman"/>
          <w:b/>
          <w:color w:val="000000"/>
          <w:sz w:val="24"/>
        </w:rPr>
      </w:pPr>
      <w:r>
        <w:rPr>
          <w:rFonts w:eastAsia="Times New Roman" w:cs="Times New Roman"/>
          <w:b/>
          <w:color w:val="000000"/>
          <w:sz w:val="24"/>
        </w:rPr>
        <w:t>2.6.2   Decision Tree</w:t>
      </w:r>
    </w:p>
    <w:p w14:paraId="51321BA0" w14:textId="5A12EF0D" w:rsidR="00A17C08" w:rsidRDefault="00A17C08" w:rsidP="00A17C08">
      <w:pPr>
        <w:spacing w:after="160" w:line="336" w:lineRule="auto"/>
        <w:jc w:val="both"/>
        <w:rPr>
          <w:rFonts w:eastAsia="Times New Roman" w:cs="Times New Roman"/>
        </w:rPr>
      </w:pPr>
      <w:r w:rsidRPr="00A17C08">
        <w:rPr>
          <w:rFonts w:eastAsia="Times New Roman" w:cs="Times New Roman"/>
        </w:rPr>
        <w:t>Utilised a single CART tree where max_depth ranged from 3 to 7, and min_samples_leaf varied from 1 to 5 for fine-tuning using grid search.</w:t>
      </w:r>
    </w:p>
    <w:p w14:paraId="7F31D6DB" w14:textId="77777777" w:rsidR="00A17C08" w:rsidRDefault="00000000" w:rsidP="00A17C08">
      <w:pPr>
        <w:spacing w:after="160" w:line="336" w:lineRule="auto"/>
        <w:jc w:val="both"/>
        <w:rPr>
          <w:rFonts w:eastAsia="Times New Roman" w:cs="Times New Roman"/>
          <w:b/>
          <w:color w:val="000000"/>
          <w:sz w:val="24"/>
        </w:rPr>
      </w:pPr>
      <w:r>
        <w:rPr>
          <w:rFonts w:eastAsia="Times New Roman" w:cs="Times New Roman"/>
          <w:b/>
          <w:color w:val="000000"/>
          <w:sz w:val="24"/>
        </w:rPr>
        <w:t>2.6.3   Random Forest</w:t>
      </w:r>
    </w:p>
    <w:p w14:paraId="578DCB76" w14:textId="27670928" w:rsidR="00A17C08" w:rsidRDefault="00A17C08" w:rsidP="00A17C08">
      <w:pPr>
        <w:spacing w:after="160" w:line="336" w:lineRule="auto"/>
        <w:jc w:val="both"/>
        <w:rPr>
          <w:rFonts w:eastAsia="Times New Roman" w:cs="Times New Roman"/>
        </w:rPr>
      </w:pPr>
      <w:r w:rsidRPr="00A17C08">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3875C5DB" w14:textId="77777777" w:rsidR="001D6A84" w:rsidRDefault="00000000" w:rsidP="00A17C08">
      <w:pPr>
        <w:spacing w:after="160" w:line="336" w:lineRule="auto"/>
        <w:jc w:val="both"/>
        <w:rPr>
          <w:rFonts w:eastAsia="Times New Roman" w:cs="Times New Roman"/>
          <w:b/>
          <w:color w:val="000000"/>
          <w:sz w:val="24"/>
        </w:rPr>
      </w:pPr>
      <w:r>
        <w:rPr>
          <w:rFonts w:eastAsia="Times New Roman" w:cs="Times New Roman"/>
          <w:b/>
          <w:color w:val="000000"/>
          <w:sz w:val="24"/>
        </w:rPr>
        <w:t>2.6.4   Extra Trees</w:t>
      </w:r>
    </w:p>
    <w:p w14:paraId="0DF5378C" w14:textId="10ED19D4" w:rsidR="00D92DA1" w:rsidRDefault="00D92DA1" w:rsidP="00E52F43">
      <w:pPr>
        <w:spacing w:after="160" w:line="336" w:lineRule="auto"/>
        <w:jc w:val="both"/>
        <w:rPr>
          <w:rFonts w:eastAsia="Times New Roman" w:cs="Times New Roman"/>
        </w:rPr>
      </w:pPr>
      <w:r w:rsidRPr="00D92DA1">
        <w:rPr>
          <w:rFonts w:eastAsia="Times New Roman" w:cs="Times New Roman"/>
        </w:rPr>
        <w:t>Like Random Forest but with fully random splits per node. The extra randomisation lowers between-tree correlation and helped it win on Vibration.</w:t>
      </w:r>
      <w:r>
        <w:rPr>
          <w:rFonts w:eastAsia="Times New Roman" w:cs="Times New Roman"/>
        </w:rPr>
      </w:r>
      <w:r w:rsidRPr="00D92DA1">
        <w:rPr>
          <w:rFonts w:eastAsia="Times New Roman" w:cs="Times New Roman"/>
        </w:rPr>
      </w:r>
    </w:p>
    <w:p w14:paraId="57357DEF" w14:textId="77777777" w:rsidR="00D92DA1" w:rsidRDefault="00000000" w:rsidP="00E52F43">
      <w:pPr>
        <w:spacing w:after="160" w:line="336" w:lineRule="auto"/>
        <w:jc w:val="both"/>
        <w:rPr>
          <w:rFonts w:eastAsia="Times New Roman" w:cs="Times New Roman"/>
          <w:b/>
          <w:color w:val="000000"/>
          <w:sz w:val="24"/>
        </w:rPr>
      </w:pPr>
      <w:r>
        <w:rPr>
          <w:rFonts w:eastAsia="Times New Roman" w:cs="Times New Roman"/>
          <w:b/>
          <w:color w:val="000000"/>
          <w:sz w:val="24"/>
        </w:rPr>
        <w:t>2.6.5   Histogram Gradient Boosting</w:t>
      </w:r>
    </w:p>
    <w:p w14:paraId="248439F7" w14:textId="7CA16891" w:rsidR="00A17C08" w:rsidRPr="00E52F43" w:rsidRDefault="00A17C08" w:rsidP="00E52F43">
      <w:pPr>
        <w:spacing w:after="160" w:line="336" w:lineRule="auto"/>
        <w:jc w:val="both"/>
        <w:rPr>
          <w:rFonts w:eastAsia="Times New Roman" w:cs="Times New Roman"/>
          <w:b/>
          <w:color w:val="000000"/>
          <w:sz w:val="24"/>
        </w:rPr>
      </w:pPr>
      <w:r w:rsidRPr="00A17C08">
        <w:rPr>
          <w:rFonts w:eastAsia="Times New Roman" w:cs="Times New Roman"/>
        </w:rPr>
        <w:t>Sequential residual-fit ensemble with histogram-binned features for training speed. Won on Force (Borg CR10 cutoffs are nonlinear) and Posture (strongest signal from RULA and QEC features).</w:t>
      </w:r>
    </w:p>
    <w:p w14:paraId="0EB6848A" w14:textId="078C1813" w:rsidR="00BF1F9D" w:rsidRDefault="00000000">
      <w:pPr>
        <w:pStyle w:val="Heading5"/>
        <w:spacing w:before="180" w:after="60"/>
      </w:pPr>
      <w:r>
        <w:rPr>
          <w:rFonts w:ascii="Times New Roman" w:eastAsia="Times New Roman" w:hAnsi="Times New Roman" w:cs="Times New Roman"/>
          <w:b/>
          <w:color w:val="000000"/>
          <w:sz w:val="24"/>
        </w:rPr>
        <w:lastRenderedPageBreak/>
        <w:t>2.6.6   XGBoost</w:t>
      </w:r>
    </w:p>
    <w:p w14:paraId="01F78915" w14:textId="77777777" w:rsidR="00A17C08" w:rsidRDefault="00A17C08">
      <w:pPr>
        <w:spacing w:before="180" w:after="60"/>
        <w:rPr>
          <w:rFonts w:ascii="Times New Roman" w:eastAsia="Times New Roman" w:hAnsi="Times New Roman" w:cs="Times New Roman"/>
          <w:color w:val="auto"/>
        </w:rPr>
      </w:pPr>
      <w:r w:rsidRPr="00A17C08">
        <w:rPr>
          <w:rFonts w:ascii="Times New Roman" w:eastAsia="Times New Roman" w:hAnsi="Times New Roman" w:cs="Times New Roman"/>
          <w:color w:val="auto"/>
        </w:rPr>
        <w:t>Gradient-boosted trees with L2 regularisation on the leaf weights. Placed second on Duration and Contact Stress but did not win any at the default search budget.</w:t>
      </w:r>
    </w:p>
    <w:p w14:paraId="318EE8D0" w14:textId="5AE79978"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78026669" w14:textId="77777777" w:rsidR="00A17C08" w:rsidRDefault="00A17C08">
      <w:pPr>
        <w:spacing w:before="180" w:after="60"/>
        <w:rPr>
          <w:rFonts w:ascii="Times New Roman" w:eastAsia="Times New Roman" w:hAnsi="Times New Roman" w:cs="Times New Roman"/>
          <w:color w:val="auto"/>
        </w:rPr>
      </w:pPr>
      <w:r w:rsidRPr="00A17C08">
        <w:rPr>
          <w:rFonts w:ascii="Times New Roman" w:eastAsia="Times New Roman" w:hAnsi="Times New Roman" w:cs="Times New Roman"/>
          <w:color w:val="auto"/>
        </w:rPr>
        <w:t>Meta-learner (Logistic Regression) trained on the out-of-fold predictions of Random Forest, Extra Trees, HistGBM, and XGBoost as base learners. Failed to strictly outperform the strongest base learner on any of the six targets.</w:t>
      </w:r>
    </w:p>
    <w:p w14:paraId="044BC5FE" w14:textId="63D831FB"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3563E2CB" w14:textId="77777777" w:rsidR="00A17C08" w:rsidRDefault="00A17C08">
      <w:pPr>
        <w:spacing w:before="180" w:after="60"/>
        <w:rPr>
          <w:rFonts w:ascii="Times New Roman" w:eastAsia="Times New Roman" w:hAnsi="Times New Roman" w:cs="Times New Roman"/>
          <w:color w:val="auto"/>
        </w:rPr>
      </w:pPr>
      <w:r w:rsidRPr="00A17C08">
        <w:rPr>
          <w:rFonts w:ascii="Times New Roman" w:eastAsia="Times New Roman" w:hAnsi="Times New Roman" w:cs="Times New Roman"/>
          <w:color w:val="auto"/>
        </w:rPr>
        <w:t>SMOTE synthesises new minority-class samples along segments between k nearest minority neighbours. Wrapping it in imblearn.Pipeline keeps the synthesis inside training folds only, so validation-fold accuracy is never inflated. GridSearchCV picks hyperparameters on macro-F1 with StratifiedKFold(5, shuffle=True, random_state=42).</w:t>
      </w:r>
    </w:p>
    <w:p w14:paraId="4FBD63F5" w14:textId="2107701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29B200E7" w:rsidR="00BF1F9D" w:rsidRDefault="00A17C08">
      <w:pPr>
        <w:spacing w:after="160" w:line="336" w:lineRule="auto"/>
        <w:jc w:val="both"/>
      </w:pPr>
      <w:r w:rsidRPr="00A17C08">
        <w:rPr>
          <w:rFonts w:eastAsia="Times New Roman" w:cs="Times New Roman"/>
        </w:rPr>
        <w:t>Each target does not use survey questions that have given it its Stage-1 label (otherwise it would learn the rule). The Posture target additionally receives an additional 11 RULA components and 8 QEC scores, resulting in an overall of 63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r>
              <w:rPr>
                <w:rFonts w:eastAsia="Times New Roman" w:cs="Times New Roman"/>
                <w:sz w:val="20"/>
              </w:rPr>
              <w:t>force_exertion, force_x_age</w:t>
            </w:r>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r>
              <w:rPr>
                <w:rFonts w:eastAsia="Times New Roman" w:cs="Times New Roman"/>
                <w:sz w:val="20"/>
              </w:rPr>
              <w:t>deliveries_num, work_hours_num, deliv_x_days</w:t>
            </w:r>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r>
              <w:rPr>
                <w:rFonts w:eastAsia="Times New Roman" w:cs="Times New Roman"/>
                <w:sz w:val="20"/>
              </w:rPr>
              <w:t>work_hours_num, vibration_index</w:t>
            </w:r>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r>
              <w:rPr>
                <w:rFonts w:eastAsia="Times New Roman" w:cs="Times New Roman"/>
                <w:sz w:val="20"/>
              </w:rPr>
              <w:t>vibration_index, vehicle_rank, work_hours_num</w:t>
            </w:r>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r>
              <w:rPr>
                <w:rFonts w:eastAsia="Times New Roman" w:cs="Times New Roman"/>
                <w:sz w:val="20"/>
              </w:rPr>
              <w:t>carrying_contact_rank, work_hours_num</w:t>
            </w:r>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30024A68"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1C2DEB5E" w14:textId="57D24669" w:rsidR="00A17C08" w:rsidRDefault="00A17C08">
      <w:pPr>
        <w:spacing w:after="160" w:line="336" w:lineRule="auto"/>
        <w:jc w:val="both"/>
      </w:pPr>
      <w:r w:rsidRPr="00A17C08">
        <w:t>Phase 7 (07_evaluation.ipynb) involves cross_val_predict for out of fold predictions and generates class-wise metrics such as precision, recall, F1 score, support, confusion matrices, one-vs-all ROC curves with AUC per class (macro AUC is simply the average of all classes) and feature importance (feature_importances_ in case of tree models, abs(coef_) for the Logistic Regression classifier).</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5FAB88AC" w:rsidR="00BF1F9D" w:rsidRDefault="005F0A8C">
      <w:pPr>
        <w:spacing w:after="160" w:line="336" w:lineRule="auto"/>
        <w:jc w:val="both"/>
      </w:pPr>
      <w:r w:rsidRPr="005F0A8C">
        <w:rPr>
          <w:rFonts w:eastAsia="Times New Roman" w:cs="Times New Roman"/>
        </w:rPr>
        <w:t>The complete pipeline comprises a total of 7 Jupyter notebooks (notebooks 01 to 07) together with a Streamlit application. Each of the notebooks is programmed in such a way that it is capable of functioning independently of the previous notebook. Thus, the total pipeline can be fully produced with a random seed set at 42.</w:t>
      </w:r>
    </w:p>
    <w:p w14:paraId="70784D11" w14:textId="4627604E" w:rsidR="005F0A8C" w:rsidRPr="005F0A8C" w:rsidRDefault="00000000">
      <w:pPr>
        <w:pStyle w:val="ListBullet"/>
        <w:spacing w:after="60"/>
      </w:pPr>
      <w:r>
        <w:rPr>
          <w:rFonts w:eastAsia="Times New Roman" w:cs="Times New Roman"/>
        </w:rPr>
        <w:t>01_data_cleaning normalises the raw CSV, standardises Yes / No answers, and validates row counts.</w:t>
      </w:r>
      <w:r w:rsidR="00A773F2">
        <w:rPr>
          <w:rFonts w:eastAsia="Times New Roman" w:cs="Times New Roman"/>
        </w:rPr>
      </w:r>
      <w:r>
        <w:rPr>
          <w:rFonts w:eastAsia="Times New Roman" w:cs="Times New Roman"/>
        </w:rPr>
      </w:r>
      <w:r w:rsidR="005F0A8C" w:rsidRPr="005F0A8C">
        <w:rPr>
          <w:rFonts w:ascii="Nunito Sans" w:hAnsi="Nunito Sans"/>
          <w:color w:val="131417"/>
          <w:shd w:val="clear" w:color="auto" w:fill="FFFFFF"/>
        </w:rPr>
      </w:r>
      <w:r w:rsidR="005F0A8C" w:rsidRPr="005F0A8C">
        <w:rPr>
          <w:rFonts w:eastAsia="Times New Roman" w:cs="Times New Roman"/>
        </w:rPr>
      </w:r>
    </w:p>
    <w:p w14:paraId="1C9D20B7" w14:textId="77777777" w:rsidR="005F0A8C" w:rsidRPr="005F0A8C" w:rsidRDefault="005F0A8C">
      <w:pPr>
        <w:pStyle w:val="ListBullet"/>
        <w:spacing w:after="60"/>
      </w:pPr>
      <w:r w:rsidRPr="005F0A8C">
        <w:rPr>
          <w:rFonts w:eastAsia="Times New Roman" w:cs="Times New Roman"/>
        </w:rPr>
        <w:t>02_feature_engineering transforms categorical features into a numerical format, combines score estimates, creates acronyms for 18 binary features, and combines observations about different postures based on their level of severity.</w:t>
      </w:r>
    </w:p>
    <w:p w14:paraId="73D952DD" w14:textId="77777777" w:rsidR="005F0A8C" w:rsidRDefault="005F0A8C" w:rsidP="005F0A8C">
      <w:pPr>
        <w:pStyle w:val="ListBullet"/>
        <w:spacing w:after="60"/>
      </w:pPr>
      <w:r>
        <w:rPr>
          <w:rFonts w:eastAsia="Times New Roman" w:cs="Times New Roman"/>
        </w:rPr>
        <w:t>03_risk_scoring applies standard thresholds to compute Low/Medium/High labels per risk factor.</w:t>
      </w:r>
    </w:p>
    <w:p w14:paraId="626C98AC" w14:textId="77777777" w:rsidR="005F0A8C" w:rsidRPr="005F0A8C" w:rsidRDefault="005F0A8C">
      <w:pPr>
        <w:pStyle w:val="ListBullet"/>
        <w:spacing w:after="60"/>
      </w:pPr>
      <w:r w:rsidRPr="005F0A8C">
        <w:rPr>
          <w:rFonts w:eastAsia="Times New Roman" w:cs="Times New Roman"/>
        </w:rPr>
        <w:t>04_eda reads model_ready.csv and risk_profile.csv and writes six figures under outputs/figures. It covers demographics, value_counts on the six risk columns, per body-area Nordic 12-month pain prevalence, discomfort split by demographic and by risk level, and a Pearson correlation heatmap on 15 columns (14 numeric and ordinal features plus the discomfort outcome). No CSVs or pickles are produced at this stage; the figures feed the Results chapter and motivate the tests in 05_stats.</w:t>
      </w:r>
    </w:p>
    <w:p w14:paraId="7057A73D" w14:textId="77777777" w:rsidR="005F0A8C" w:rsidRPr="005F0A8C" w:rsidRDefault="005F0A8C">
      <w:pPr>
        <w:pStyle w:val="ListBullet"/>
        <w:spacing w:after="60"/>
      </w:pPr>
      <w:r w:rsidRPr="005F0A8C">
        <w:rPr>
          <w:rFonts w:eastAsia="Times New Roman" w:cs="Times New Roman"/>
        </w:rPr>
        <w:t xml:space="preserve">05_stats implements chi-square tests and multivariate logistic regression. </w:t>
      </w:r>
    </w:p>
    <w:p w14:paraId="394D47D0" w14:textId="77777777" w:rsidR="005F0A8C" w:rsidRPr="005F0A8C" w:rsidRDefault="005F0A8C">
      <w:pPr>
        <w:pStyle w:val="ListBullet"/>
        <w:spacing w:after="60"/>
      </w:pPr>
      <w:r w:rsidRPr="005F0A8C">
        <w:rPr>
          <w:rFonts w:eastAsia="Times New Roman" w:cs="Times New Roman"/>
        </w:rPr>
        <w:t>06_modeling conducts SMOTE and GridSearchCV for seven algorithms per target being scored.</w:t>
      </w:r>
    </w:p>
    <w:p w14:paraId="3C2DF7DB" w14:textId="45496792" w:rsidR="00BF1F9D" w:rsidRDefault="005F0A8C" w:rsidP="005F0A8C">
      <w:pPr>
        <w:pStyle w:val="ListBullet"/>
        <w:spacing w:after="60"/>
      </w:pPr>
      <w:r w:rsidRPr="005F0A8C">
        <w:rPr>
          <w:rFonts w:eastAsia="Times New Roman" w:cs="Times New Roman"/>
        </w:rPr>
        <w:t>07_evaluation performs confusion matrices, ROC curves, classification reports, and feature importance graphs.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rider-relevant areas (neck, lower back, wrist / hands, knees) as a space-saving modification of the standard 9-region NMQ (Q19), five discomfort-related follow-up items on performance impact, leave taken, medical consultation, and worsening triggers (Q20 to Q24), six NASA-TLX workload items on 0 to 100 sliders (Q25 to Q30), and six Borg CR10 perceived-exertion items on 0 to 10 sliders (Q31 to Q36). The NASA-TLX performance item is worded as satisfaction (higher = better performance), so at analysis time it is reversed to 100 minus the raw value; the workload composite is then the unweighted mean of the six items (Raw TLX).</w:t>
      </w:r>
    </w:p>
    <w:p w14:paraId="3F8D74C5" w14:textId="77777777" w:rsidR="00BF1F9D" w:rsidRDefault="00000000">
      <w:pPr>
        <w:spacing w:after="160" w:line="336" w:lineRule="auto"/>
        <w:jc w:val="both"/>
      </w:pPr>
      <w:r>
        <w:rPr>
          <w:rFonts w:eastAsia="Times New Roman" w:cs="Times New Roman"/>
        </w:rPr>
        <w:t xml:space="preserve">The observation instrument was a paper form carrying the eleven standard RULA elements (upper arm, lower arm, wrist, wrist twist, neck position, trunk position, legs, muscle A, force A, muscle B, force </w:t>
      </w:r>
      <w:r>
        <w:rPr>
          <w:rFonts w:eastAsia="Times New Roman" w:cs="Times New Roman"/>
        </w:rPr>
        <w:lastRenderedPageBreak/>
        <w:t>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t>3.3   Data collection execution</w:t>
      </w:r>
    </w:p>
    <w:p w14:paraId="76724284" w14:textId="77777777" w:rsidR="00DB5723" w:rsidRDefault="00DB5723">
      <w:pPr>
        <w:pStyle w:val="Heading4"/>
        <w:spacing w:before="280" w:after="100"/>
        <w:rPr>
          <w:rFonts w:ascii="Times New Roman" w:eastAsia="Times New Roman" w:hAnsi="Times New Roman" w:cs="Times New Roman"/>
          <w:b w:val="0"/>
          <w:bCs w:val="0"/>
          <w:i w:val="0"/>
          <w:iCs w:val="0"/>
          <w:color w:val="auto"/>
        </w:rPr>
      </w:pPr>
      <w:r w:rsidRPr="00DB5723">
        <w:rPr>
          <w:rFonts w:ascii="Times New Roman" w:eastAsia="Times New Roman" w:hAnsi="Times New Roman" w:cs="Times New Roman"/>
          <w:b w:val="0"/>
          <w:bCs w:val="0"/>
          <w:i w:val="0"/>
          <w:iCs w:val="0"/>
          <w:color w:val="auto"/>
        </w:rPr>
        <w:t>Fieldwork ran in the Chengalpattu and Chennai areas in March and April 2026. Riders were recruited at hand-off points between shifts. Verbal consent was taken before each interview. Participants filled the 36-item questionnaire on a smartphone in about 15 to 20 minutes, and posture was recorded on paper by a trained observer while the rider performed a delivery task. Riders with incomplete demographic or NMQ data were dropped, leaving a final sample of 182. Personal identifiers were stripped during data entry.</w:t>
      </w:r>
    </w:p>
    <w:p w14:paraId="2141F2AE" w14:textId="3D2CB03F"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Data preparation ran in two notebooks. 01_data_cleaning loaded the raw Google Form CSV, standardised text answers to canonical Yes/No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18 NMQ and 7-day items and the 5 outcome follow-ups were converted to short-named binary aliases (nmq_neck, d7_lower_back, out_reduced_perf,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35378E7B" w14:textId="77777777" w:rsidR="00BF1F9D" w:rsidRDefault="00000000">
      <w:pPr>
        <w:spacing w:after="160" w:line="336" w:lineRule="auto"/>
        <w:jc w:val="both"/>
      </w:pPr>
      <w:r>
        <w:lastRenderedPageBreak/>
        <w:t>Phase 3 (03_risk_scoring.ipynb) applied the Stage-1 rules from §2.4 to the merged frame and wrote risk_profile.csv with per-rider Low / Medium / High labels on the six ergonomic factors. Phase 4 (04_eda.ipynb) then produced the descriptive figures used in Chapter 4 (demographics, per-factor risk distribution, Nordic prevalence, discomfort split by demographic and by risk level, and a Pearson correlation heatmap) under outputs/figures/.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t>3.5   Statistical analysis and model training runs</w:t>
      </w:r>
    </w:p>
    <w:p w14:paraId="3664167E" w14:textId="77777777" w:rsidR="00BF1F9D" w:rsidRDefault="00000000">
      <w:pPr>
        <w:spacing w:after="160" w:line="336" w:lineRule="auto"/>
        <w:jc w:val="both"/>
      </w:pPr>
      <w:r>
        <w:rPr>
          <w:rFonts w:eastAsia="Times New Roman" w:cs="Times New Roman"/>
        </w:rPr>
        <w:t>Two independent statistical analyses were run in 05_stats on the model-ready CSV. First, six chi-square tests of independence checked whether each Stage-1 risk-factor band was associated with a binary discomfort outcome; the tests reported chi2, degrees of freedom, and a raw p-value. Second, a multivariable logistic regression fitted with statsmodels estimated odds ratios for fourteen predictors (age, income, education, job duration, workload score, fatigue score, force exertion, vibration index, contact rank, hours, days) with self-reported discomfort as the outcome. Results were reported as OR with 95 percent confidence intervals.</w:t>
      </w:r>
    </w:p>
    <w:p w14:paraId="38BFA203" w14:textId="4AFDDB6B" w:rsidR="00BF1F9D" w:rsidRDefault="00000000">
      <w:pPr>
        <w:spacing w:after="160" w:line="336" w:lineRule="auto"/>
        <w:jc w:val="both"/>
      </w:pPr>
      <w:r>
        <w:rPr>
          <w:rFonts w:eastAsia="Times New Roman" w:cs="Times New Roman"/>
        </w:rPr>
        <w:t>Model training ran in 06_modeling. Each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saved via joblib.dump to outputs/models as best_&lt;factor&gt;.pkl. The per-target feature exclusions listed in §2.6.9 were applied before each training run so no model could memorise its Stage-1 rule.</w:t>
      </w:r>
      <w:r w:rsidR="00E5317A">
        <w:rPr>
          <w:rFonts w:eastAsia="Times New Roman" w:cs="Times New Roman"/>
        </w:rPr>
      </w:r>
      <w:r>
        <w:rPr>
          <w:rFonts w:eastAsia="Times New Roman" w:cs="Times New Roman"/>
        </w:rPr>
      </w:r>
      <w:r w:rsidR="00E5317A">
        <w:rPr>
          <w:rFonts w:eastAsia="Times New Roman" w:cs="Times New Roman"/>
        </w:rPr>
      </w:r>
      <w:r>
        <w:rPr>
          <w:rFonts w:eastAsia="Times New Roman" w:cs="Times New Roman"/>
        </w:rPr>
      </w:r>
    </w:p>
    <w:p w14:paraId="2AB71672" w14:textId="77777777" w:rsidR="00BF1F9D" w:rsidRDefault="00000000">
      <w:pPr>
        <w:spacing w:after="160" w:line="336" w:lineRule="auto"/>
        <w:jc w:val="both"/>
      </w:pPr>
      <w:r>
        <w:rPr>
          <w:rFonts w:eastAsia="Times New Roman" w:cs="Times New Roman"/>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302E2AB1" w14:textId="77777777" w:rsidR="009C29D5" w:rsidRDefault="009C29D5">
      <w:pPr>
        <w:spacing w:after="160" w:line="336" w:lineRule="auto"/>
        <w:jc w:val="both"/>
        <w:rPr>
          <w:rFonts w:eastAsia="Times New Roman" w:cs="Times New Roman"/>
        </w:rPr>
      </w:pPr>
      <w:r w:rsidRPr="009C29D5">
        <w:rPr>
          <w:rFonts w:eastAsia="Times New Roman" w:cs="Times New Roman"/>
        </w:rPr>
        <w:t>The Streamlit application (app/streamlit_app.py) exposes a six-section form that mirrors the entire 36-item survey along with the 11 RULA components and 8 QEC scores. Selectboxes cover demographics and work pattern; radios cover NMQ, 7-day discomfort, and the outcome follow-ups; sliders cover NASA-TLX (0 to 100) and Borg CR10 (0 to 10); and QEC score entries are bounded by their allowed range. Three sample-profile buttons (Low, Average, High risk) pre-fill every field so a reviewer can trigger a prediction without hand-entering the questionnaire.</w:t>
      </w:r>
      <w:r w:rsidRPr="009C29D5">
        <w:rPr>
          <w:rFonts w:eastAsia="Times New Roman" w:cs="Times New Roman"/>
        </w:rPr>
      </w:r>
    </w:p>
    <w:p w14:paraId="2AC001A4" w14:textId="6BA51CFB" w:rsidR="00BF1F9D" w:rsidRDefault="00000000">
      <w:pPr>
        <w:spacing w:after="160" w:line="336" w:lineRule="auto"/>
        <w:jc w:val="both"/>
      </w:pPr>
      <w:r>
        <w:rPr>
          <w:rFonts w:eastAsia="Times New Roman" w:cs="Times New Roman"/>
        </w:rPr>
        <w:t>On form submission, encode_rider builds the shared 63-column feature frame (each model then applies its own per-target exclusions per Table 2.1) and predict_risks runs all six saved models. The Results page renders a colour-coded metric strip (green for Low, amber for Medium, red for High), a horizontal Altair bar chart of the same six factors, a summary banner that flags high-burden profiles, and per-factor recommendation cards. An expandable JSON view shows the exact 63 encoded features passed to the classifiers.</w:t>
      </w:r>
      <w:r w:rsidR="009C29D5" w:rsidRPr="009C29D5">
        <w:rPr>
          <w:rFonts w:eastAsia="Times New Roman" w:cs="Times New Roman"/>
        </w:rPr>
      </w:r>
    </w:p>
    <w:p w14:paraId="36AE6A73" w14:textId="68F95677" w:rsidR="009C29D5" w:rsidRDefault="009C29D5">
      <w:pPr>
        <w:spacing w:before="280" w:after="100"/>
        <w:rPr>
          <w:rFonts w:ascii="Times New Roman" w:eastAsia="Times New Roman" w:hAnsi="Times New Roman" w:cs="Times New Roman"/>
          <w:b w:val="0"/>
          <w:bCs w:val="0"/>
          <w:i w:val="0"/>
          <w:iCs w:val="0"/>
          <w:color w:val="auto"/>
        </w:rPr>
      </w:pPr>
      <w:r w:rsidRPr="009C29D5">
        <w:rPr>
          <w:rFonts w:ascii="Times New Roman" w:eastAsia="Times New Roman" w:hAnsi="Times New Roman" w:cs="Times New Roman"/>
          <w:b w:val="0"/>
          <w:bCs w:val="0"/>
          <w:i w:val="0"/>
          <w:iCs w:val="0"/>
          <w:color w:val="auto"/>
        </w:rPr>
        <w:t>The application was deployed to Streamlit Community Cloud from the public GitHub repository. Deployment required pinning every runtime dependency in requirements.txt to the exact versions used during training (streamlit 1.58, pandas 2.3, scikit-learn 1.7, xgboost 3.2, imbalanced-learn 0.14) because sklearn and xgboost pickles are not portable across versions. runtime.txt pins Python to 3.13 to match the training environment.</w:t>
      </w:r>
    </w:p>
    <w:p w14:paraId="156447ED" w14:textId="70F9B555"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The initial Phase 3 binning used pandas.qcut(q=3) on deliveries_per_hour. The 66.7th percentile fell exactly on 3.889 dph (35 deliveries over 9 hours, the worst real schedule in the sample). Fifty-five of the 182 riders tied at that value and qcut pushed all of them into Medium, leaving the Stage-2 model unable to predict High for the worst schedule. Replacing qcut with fixed cuts at 2.5 and 3.75 raised the Stage-1 High count from 19 to 74. CV accuracy fell from 74 percent to 62 percent because the model now solves a real 3-class problem instead of memorising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3.7.3   Posture model with RULA and QEC inputs</w:t>
      </w:r>
    </w:p>
    <w:p w14:paraId="56C1C5D7" w14:textId="77777777" w:rsidR="00BF1F9D" w:rsidRDefault="00000000">
      <w:pPr>
        <w:spacing w:after="160" w:line="336" w:lineRule="auto"/>
        <w:jc w:val="both"/>
      </w:pPr>
      <w:r>
        <w:rPr>
          <w:rFonts w:eastAsia="Times New Roman" w:cs="Times New Roman"/>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1F2FEEEE">
            <wp:extent cx="4712123" cy="2468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712123" cy="246888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Repetition, and Force as the three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and Duration are the factors where the High band dominates; Repetition is close to a three-way split with Medium as the modal class (82 of 182 riders).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r>
              <w:rPr>
                <w:rFonts w:eastAsia="Times New Roman" w:cs="Times New Roman"/>
                <w:sz w:val="20"/>
              </w:rPr>
              <w:t>HistGradientBoosting</w:t>
            </w:r>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r>
              <w:rPr>
                <w:rFonts w:eastAsia="Times New Roman" w:cs="Times New Roman"/>
                <w:sz w:val="20"/>
              </w:rPr>
              <w:t>RandomForest</w:t>
            </w:r>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r>
              <w:rPr>
                <w:rFonts w:eastAsia="Times New Roman" w:cs="Times New Roman"/>
                <w:sz w:val="20"/>
              </w:rPr>
              <w:t>RandomForest</w:t>
            </w:r>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r>
              <w:rPr>
                <w:rFonts w:eastAsia="Times New Roman" w:cs="Times New Roman"/>
                <w:sz w:val="20"/>
              </w:rPr>
              <w:t>ExtraTrees</w:t>
            </w:r>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r>
              <w:rPr>
                <w:rFonts w:eastAsia="Times New Roman" w:cs="Times New Roman"/>
                <w:sz w:val="20"/>
              </w:rPr>
              <w:t>RandomForest</w:t>
            </w:r>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r>
              <w:rPr>
                <w:rFonts w:eastAsia="Times New Roman" w:cs="Times New Roman"/>
                <w:sz w:val="20"/>
              </w:rPr>
              <w:t>HistGradientBoosting</w:t>
            </w:r>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0.635</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0.611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0.638</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0.649</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0.929</w:t>
            </w:r>
          </w:p>
        </w:tc>
        <w:tc>
          <w:tcPr>
            <w:tcW w:w="1247" w:type="dxa"/>
          </w:tcPr>
          <w:p w14:paraId="18C956FE" w14:textId="77777777" w:rsidR="00BF1F9D" w:rsidRDefault="00000000">
            <w:pPr>
              <w:spacing w:before="20" w:after="20"/>
            </w:pPr>
            <w:r>
              <w:rPr>
                <w:rFonts w:eastAsia="Times New Roman" w:cs="Times New Roman"/>
                <w:sz w:val="20"/>
              </w:rPr>
              <w:t>0.897</w:t>
            </w:r>
          </w:p>
        </w:tc>
        <w:tc>
          <w:tcPr>
            <w:tcW w:w="1134" w:type="dxa"/>
          </w:tcPr>
          <w:p w14:paraId="7F1B1FB8" w14:textId="77777777" w:rsidR="00BF1F9D" w:rsidRDefault="00000000">
            <w:pPr>
              <w:spacing w:before="20" w:after="20"/>
            </w:pPr>
            <w:r>
              <w:rPr>
                <w:rFonts w:eastAsia="Times New Roman" w:cs="Times New Roman"/>
                <w:sz w:val="20"/>
              </w:rPr>
              <w:t>0.912</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0.981</w:t>
            </w:r>
          </w:p>
        </w:tc>
        <w:tc>
          <w:tcPr>
            <w:tcW w:w="1247" w:type="dxa"/>
          </w:tcPr>
          <w:p w14:paraId="29DCF44D" w14:textId="77777777" w:rsidR="00BF1F9D" w:rsidRDefault="00000000">
            <w:pPr>
              <w:spacing w:before="20" w:after="20"/>
            </w:pPr>
            <w:r>
              <w:rPr>
                <w:rFonts w:eastAsia="Times New Roman" w:cs="Times New Roman"/>
                <w:sz w:val="20"/>
              </w:rPr>
              <w:t>0.987</w:t>
            </w:r>
          </w:p>
        </w:tc>
        <w:tc>
          <w:tcPr>
            <w:tcW w:w="1134" w:type="dxa"/>
          </w:tcPr>
          <w:p w14:paraId="1C94E9B1" w14:textId="77777777" w:rsidR="00BF1F9D" w:rsidRDefault="00000000">
            <w:pPr>
              <w:spacing w:before="20" w:after="20"/>
            </w:pPr>
            <w:r>
              <w:rPr>
                <w:rFonts w:eastAsia="Times New Roman" w:cs="Times New Roman"/>
                <w:sz w:val="20"/>
              </w:rPr>
              <w:t>0.984</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r>
              <w:rPr>
                <w:rFonts w:eastAsia="Times New Roman" w:cs="Times New Roman"/>
                <w:sz w:val="20"/>
              </w:rPr>
              <w:t>HistGBM</w:t>
            </w:r>
          </w:p>
        </w:tc>
        <w:tc>
          <w:tcPr>
            <w:tcW w:w="3402" w:type="dxa"/>
          </w:tcPr>
          <w:p w14:paraId="3CE14932" w14:textId="77777777" w:rsidR="00BF1F9D" w:rsidRDefault="00000000">
            <w:pPr>
              <w:spacing w:before="20" w:after="20"/>
            </w:pPr>
            <w:r>
              <w:rPr>
                <w:rFonts w:eastAsia="Times New Roman" w:cs="Times New Roman"/>
                <w:sz w:val="20"/>
              </w:rPr>
              <w:t>max_depth=None, learning_rate=0.05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r>
              <w:rPr>
                <w:rFonts w:eastAsia="Times New Roman" w:cs="Times New Roman"/>
                <w:sz w:val="20"/>
              </w:rPr>
              <w:t>RandomForest</w:t>
            </w:r>
          </w:p>
        </w:tc>
        <w:tc>
          <w:tcPr>
            <w:tcW w:w="3402" w:type="dxa"/>
          </w:tcPr>
          <w:p w14:paraId="4A701B4A" w14:textId="77777777" w:rsidR="00BF1F9D" w:rsidRDefault="00000000">
            <w:pPr>
              <w:spacing w:before="20" w:after="20"/>
            </w:pPr>
            <w:r>
              <w:rPr>
                <w:rFonts w:eastAsia="Times New Roman" w:cs="Times New Roman"/>
                <w:sz w:val="20"/>
              </w:rPr>
              <w:t>n_estimators=300, max_depth=None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r>
              <w:rPr>
                <w:rFonts w:eastAsia="Times New Roman" w:cs="Times New Roman"/>
                <w:sz w:val="20"/>
              </w:rPr>
              <w:t>RandomForest</w:t>
            </w:r>
          </w:p>
        </w:tc>
        <w:tc>
          <w:tcPr>
            <w:tcW w:w="3402" w:type="dxa"/>
          </w:tcPr>
          <w:p w14:paraId="32958D05" w14:textId="77777777" w:rsidR="00BF1F9D" w:rsidRDefault="00000000">
            <w:pPr>
              <w:spacing w:before="20" w:after="20"/>
            </w:pPr>
            <w:r>
              <w:rPr>
                <w:rFonts w:eastAsia="Times New Roman" w:cs="Times New Roman"/>
                <w:sz w:val="20"/>
              </w:rPr>
              <w:t>n_estimators=500, max_depth=5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r>
              <w:rPr>
                <w:rFonts w:eastAsia="Times New Roman" w:cs="Times New Roman"/>
                <w:sz w:val="20"/>
              </w:rPr>
              <w:t>ExtraTrees</w:t>
            </w:r>
          </w:p>
        </w:tc>
        <w:tc>
          <w:tcPr>
            <w:tcW w:w="3402" w:type="dxa"/>
          </w:tcPr>
          <w:p w14:paraId="37F48B20" w14:textId="77777777" w:rsidR="00BF1F9D" w:rsidRDefault="00000000">
            <w:pPr>
              <w:spacing w:before="20" w:after="20"/>
            </w:pPr>
            <w:r>
              <w:rPr>
                <w:rFonts w:eastAsia="Times New Roman" w:cs="Times New Roman"/>
                <w:sz w:val="20"/>
              </w:rPr>
              <w:t>n_estimators=300, max_depth=None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r>
              <w:rPr>
                <w:rFonts w:eastAsia="Times New Roman" w:cs="Times New Roman"/>
                <w:sz w:val="20"/>
              </w:rPr>
              <w:t>RandomForest</w:t>
            </w:r>
          </w:p>
        </w:tc>
        <w:tc>
          <w:tcPr>
            <w:tcW w:w="3402" w:type="dxa"/>
          </w:tcPr>
          <w:p w14:paraId="1A7BBA03" w14:textId="77777777" w:rsidR="00BF1F9D" w:rsidRDefault="00000000">
            <w:pPr>
              <w:spacing w:before="20" w:after="20"/>
            </w:pPr>
            <w:r>
              <w:rPr>
                <w:rFonts w:eastAsia="Times New Roman" w:cs="Times New Roman"/>
                <w:sz w:val="20"/>
              </w:rPr>
              <w:t>n_estimators=500, max_depth=None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r>
              <w:rPr>
                <w:rFonts w:eastAsia="Times New Roman" w:cs="Times New Roman"/>
                <w:sz w:val="20"/>
              </w:rPr>
              <w:t>HistGBM</w:t>
            </w:r>
          </w:p>
        </w:tc>
        <w:tc>
          <w:tcPr>
            <w:tcW w:w="3402" w:type="dxa"/>
          </w:tcPr>
          <w:p w14:paraId="50C4034F" w14:textId="77777777" w:rsidR="00BF1F9D" w:rsidRDefault="00000000">
            <w:pPr>
              <w:spacing w:before="20" w:after="20"/>
            </w:pPr>
            <w:r>
              <w:rPr>
                <w:rFonts w:eastAsia="Times New Roman" w:cs="Times New Roman"/>
                <w:sz w:val="20"/>
              </w:rPr>
              <w:t>max_depth=5, learning_rate=0.05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Table 4.8: Winning hyperparameters per target after GridSearchCV.</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Figure 4.13: Web app: predicted risk profile output with colour-coded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(i) cap daily hours (49 percent of the sample exceeds 8 hours per day); (ii) invest in posture-focused equipment and training (84 percent of observed postures at RULA grand score 5 or above, corresponding to action level 3 or 4);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[1] Benson TM, Sathiyarajeswaran NS, Radhakrishnan R, Gafoor AA, Krupalakshme M, Samal J (2025). Factors and prevalence of musculoskeletal pain among the app-based food delivery riders in Tamil Nadu: a community-based cross-sectional study. Cureus, 17(3), e56132.</w:t>
      </w:r>
    </w:p>
    <w:p w14:paraId="54496E27" w14:textId="77777777" w:rsidR="00BF1F9D" w:rsidRDefault="00000000">
      <w:pPr>
        <w:spacing w:after="160"/>
        <w:ind w:left="454" w:hanging="454"/>
        <w:jc w:val="both"/>
      </w:pPr>
      <w:r>
        <w:t>[2] Pandit S, Adhikari P (2023). Ergonomics Issues Among Last Mile Delivery Riders in Jabalpur, India. Springer Ergonomics Proceedings, 209-215.</w:t>
      </w:r>
    </w:p>
    <w:p w14:paraId="2013A04B" w14:textId="77777777" w:rsidR="00BF1F9D" w:rsidRDefault="00000000">
      <w:pPr>
        <w:spacing w:after="160"/>
        <w:ind w:left="454" w:hanging="454"/>
        <w:jc w:val="both"/>
      </w:pPr>
      <w:r>
        <w:t>[3] McAtamney L, Corlett EN (1993). RULA: a survey method for the investigation of work-related upper limb disorders. Applied Ergonomics, 24(2), 91-99.</w:t>
      </w:r>
    </w:p>
    <w:p w14:paraId="2BF913B8" w14:textId="77777777" w:rsidR="00BF1F9D" w:rsidRDefault="00000000">
      <w:pPr>
        <w:spacing w:after="160"/>
        <w:ind w:left="454" w:hanging="454"/>
        <w:jc w:val="both"/>
      </w:pPr>
      <w:r>
        <w:t>[4] David G, Woods V, Li G, Buckle P (2008). The development of the Quick Exposure Check (QEC) for assessing exposure to risk factors for work-related musculoskeletal disorders. Applied Ergonomics, 39(1), 57-69.</w:t>
      </w:r>
    </w:p>
    <w:p w14:paraId="0D7655B6" w14:textId="77777777" w:rsidR="00BF1F9D" w:rsidRDefault="00000000">
      <w:pPr>
        <w:spacing w:after="160"/>
        <w:ind w:left="454" w:hanging="454"/>
        <w:jc w:val="both"/>
      </w:pPr>
      <w:r>
        <w:t>[5] Kuorinka I, Jonsson B, Kilbom A, Vinterberg H, Biering-Sorensen F, Andersson G, Jorgensen K (1987). Standardised Nordic questionnaires for the analysis of musculoskeletal symptoms. Applied Ergonomics, 18(3), 233-237.</w:t>
      </w:r>
    </w:p>
    <w:p w14:paraId="0FC2CEC2" w14:textId="77777777" w:rsidR="00BF1F9D" w:rsidRDefault="00000000">
      <w:pPr>
        <w:spacing w:after="160"/>
        <w:ind w:left="454" w:hanging="454"/>
        <w:jc w:val="both"/>
      </w:pPr>
      <w:r>
        <w:t>[6] Hart SG, Staveland LE (1988). Development of NASA-TLX (Task Load Index): Results of empirical and theoretical research. Advances in Psychology, 52, 139-183.</w:t>
      </w:r>
    </w:p>
    <w:p w14:paraId="3F829F53" w14:textId="77777777" w:rsidR="00BF1F9D" w:rsidRDefault="00000000">
      <w:pPr>
        <w:spacing w:after="160"/>
        <w:ind w:left="454" w:hanging="454"/>
        <w:jc w:val="both"/>
      </w:pPr>
      <w:r>
        <w:t>[7] Borg G (1998). Borg's Perceived Exertion and Pain Scales. Human Kinetics Publishers, Champaign, Illinois.</w:t>
      </w:r>
    </w:p>
    <w:p w14:paraId="11270B7F" w14:textId="77777777" w:rsidR="00BF1F9D" w:rsidRDefault="00000000">
      <w:pPr>
        <w:spacing w:after="160"/>
        <w:ind w:left="454" w:hanging="454"/>
        <w:jc w:val="both"/>
      </w:pPr>
      <w:r>
        <w:t>[8] Chawla NV, Bowyer KW, Hall LO, Kegelmeyer WP (2002). SMOTE: Synthetic Minority Over-sampling Technique. Journal of Artificial Intelligence Research, 16, 321-357.</w:t>
      </w:r>
    </w:p>
    <w:p w14:paraId="21F0C089" w14:textId="77777777" w:rsidR="00BF1F9D" w:rsidRDefault="00000000">
      <w:pPr>
        <w:spacing w:after="160"/>
        <w:ind w:left="454" w:hanging="454"/>
        <w:jc w:val="both"/>
      </w:pPr>
      <w:r>
        <w:t>[9] Lemaitre G, Nogueira F, Aridas CK (2017). Imbalanced-learn: A Python Toolbox to Tackle the Curse of Imbalanced Datasets in Machine Learning. Journal of Machine Learning Research, 18(17), 1-5.</w:t>
      </w:r>
    </w:p>
    <w:p w14:paraId="2C17007E" w14:textId="77777777" w:rsidR="00BF1F9D" w:rsidRDefault="00000000">
      <w:pPr>
        <w:spacing w:after="160"/>
        <w:ind w:left="454" w:hanging="454"/>
        <w:jc w:val="both"/>
      </w:pPr>
      <w:r>
        <w:t>[10] Breiman L (2001). Random Forests. Machine Learning, 45(1), 5-32.</w:t>
      </w:r>
    </w:p>
    <w:p w14:paraId="097AA882" w14:textId="77777777" w:rsidR="00BF1F9D" w:rsidRDefault="00000000">
      <w:pPr>
        <w:spacing w:after="160"/>
        <w:ind w:left="454" w:hanging="454"/>
        <w:jc w:val="both"/>
      </w:pPr>
      <w:r>
        <w:t>[11] Geurts P, Ernst D, Wehenkel L (2006). Extremely randomized trees. Machine Learning, 63(1), 3-42.</w:t>
      </w:r>
    </w:p>
    <w:p w14:paraId="419F48AF" w14:textId="77777777" w:rsidR="00BF1F9D" w:rsidRDefault="00000000">
      <w:pPr>
        <w:spacing w:after="160"/>
        <w:ind w:left="454" w:hanging="454"/>
        <w:jc w:val="both"/>
      </w:pPr>
      <w:r>
        <w:t>[12] Chen T, Guestrin C (2016). XGBoost: A Scalable Tree Boosting System. Proceedings of the 22nd ACM SIGKDD International Conference on Knowledge Discovery and Data Mining, 785-794.</w:t>
      </w:r>
    </w:p>
    <w:p w14:paraId="16B44A07" w14:textId="77777777" w:rsidR="00BF1F9D" w:rsidRDefault="00000000">
      <w:pPr>
        <w:spacing w:after="160"/>
        <w:ind w:left="454" w:hanging="454"/>
        <w:jc w:val="both"/>
      </w:pPr>
      <w:r>
        <w:t>[13] Friedman JH (2001). Greedy function approximation: A gradient boosting machine. Annals of Statistics, 29(5), 1189-1232.</w:t>
      </w:r>
    </w:p>
    <w:p w14:paraId="1D88A9F7" w14:textId="77777777" w:rsidR="00BF1F9D" w:rsidRDefault="00000000">
      <w:pPr>
        <w:spacing w:after="160"/>
        <w:ind w:left="454" w:hanging="454"/>
        <w:jc w:val="both"/>
      </w:pPr>
      <w:r>
        <w:t>[14] Pedregosa F, Varoquaux G, Gramfort A, et al. (2011). Scikit-learn: Machine Learning in Python. Journal of Machine Learning Research, 12, 2825-2830.</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50D58" w14:textId="77777777" w:rsidR="00061C0F" w:rsidRDefault="00061C0F">
      <w:pPr>
        <w:spacing w:after="0" w:line="240" w:lineRule="auto"/>
      </w:pPr>
      <w:r>
        <w:separator/>
      </w:r>
    </w:p>
  </w:endnote>
  <w:endnote w:type="continuationSeparator" w:id="0">
    <w:p w14:paraId="403BF8A6" w14:textId="77777777" w:rsidR="00061C0F" w:rsidRDefault="0006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unito Sans">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A4CE9" w14:textId="77777777" w:rsidR="00061C0F" w:rsidRDefault="00061C0F">
      <w:pPr>
        <w:spacing w:after="0" w:line="240" w:lineRule="auto"/>
      </w:pPr>
      <w:r>
        <w:separator/>
      </w:r>
    </w:p>
  </w:footnote>
  <w:footnote w:type="continuationSeparator" w:id="0">
    <w:p w14:paraId="10EE4FFA" w14:textId="77777777" w:rsidR="00061C0F" w:rsidRDefault="00061C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0E5BAEEF"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E5317A">
      <w:rPr>
        <w:rFonts w:eastAsia="Times New Roman" w:cs="Times New Roman"/>
        <w:b/>
        <w:noProof/>
        <w:sz w:val="20"/>
      </w:rPr>
      <w:t>CHAPTER 3. WORK DONE</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A1AB66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C2C5A4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934592"/>
    <w:multiLevelType w:val="multilevel"/>
    <w:tmpl w:val="5F686C8A"/>
    <w:lvl w:ilvl="0">
      <w:start w:val="1"/>
      <w:numFmt w:val="decimal"/>
      <w:lvlText w:val="%1"/>
      <w:lvlJc w:val="left"/>
      <w:pPr>
        <w:ind w:left="375" w:hanging="375"/>
      </w:pPr>
      <w:rPr>
        <w:rFonts w:ascii="Times New Roman" w:eastAsia="Times New Roman" w:hAnsi="Times New Roman" w:cs="Times New Roman" w:hint="default"/>
        <w:color w:val="000000"/>
        <w:sz w:val="30"/>
      </w:rPr>
    </w:lvl>
    <w:lvl w:ilvl="1">
      <w:start w:val="3"/>
      <w:numFmt w:val="decimal"/>
      <w:lvlText w:val="%1.%2"/>
      <w:lvlJc w:val="left"/>
      <w:pPr>
        <w:ind w:left="375" w:hanging="375"/>
      </w:pPr>
      <w:rPr>
        <w:rFonts w:ascii="Times New Roman" w:eastAsia="Times New Roman" w:hAnsi="Times New Roman" w:cs="Times New Roman" w:hint="default"/>
        <w:color w:val="000000"/>
        <w:sz w:val="30"/>
      </w:rPr>
    </w:lvl>
    <w:lvl w:ilvl="2">
      <w:start w:val="1"/>
      <w:numFmt w:val="decimal"/>
      <w:lvlText w:val="%1.%2.%3"/>
      <w:lvlJc w:val="left"/>
      <w:pPr>
        <w:ind w:left="720" w:hanging="720"/>
      </w:pPr>
      <w:rPr>
        <w:rFonts w:ascii="Times New Roman" w:eastAsia="Times New Roman" w:hAnsi="Times New Roman" w:cs="Times New Roman" w:hint="default"/>
        <w:color w:val="000000"/>
        <w:sz w:val="30"/>
      </w:rPr>
    </w:lvl>
    <w:lvl w:ilvl="3">
      <w:start w:val="1"/>
      <w:numFmt w:val="decimal"/>
      <w:lvlText w:val="%1.%2.%3.%4"/>
      <w:lvlJc w:val="left"/>
      <w:pPr>
        <w:ind w:left="720" w:hanging="720"/>
      </w:pPr>
      <w:rPr>
        <w:rFonts w:ascii="Times New Roman" w:eastAsia="Times New Roman" w:hAnsi="Times New Roman" w:cs="Times New Roman" w:hint="default"/>
        <w:color w:val="000000"/>
        <w:sz w:val="30"/>
      </w:rPr>
    </w:lvl>
    <w:lvl w:ilvl="4">
      <w:start w:val="1"/>
      <w:numFmt w:val="decimal"/>
      <w:lvlText w:val="%1.%2.%3.%4.%5"/>
      <w:lvlJc w:val="left"/>
      <w:pPr>
        <w:ind w:left="1080" w:hanging="1080"/>
      </w:pPr>
      <w:rPr>
        <w:rFonts w:ascii="Times New Roman" w:eastAsia="Times New Roman" w:hAnsi="Times New Roman" w:cs="Times New Roman" w:hint="default"/>
        <w:color w:val="000000"/>
        <w:sz w:val="30"/>
      </w:rPr>
    </w:lvl>
    <w:lvl w:ilvl="5">
      <w:start w:val="1"/>
      <w:numFmt w:val="decimal"/>
      <w:lvlText w:val="%1.%2.%3.%4.%5.%6"/>
      <w:lvlJc w:val="left"/>
      <w:pPr>
        <w:ind w:left="1080" w:hanging="1080"/>
      </w:pPr>
      <w:rPr>
        <w:rFonts w:ascii="Times New Roman" w:eastAsia="Times New Roman" w:hAnsi="Times New Roman" w:cs="Times New Roman" w:hint="default"/>
        <w:color w:val="000000"/>
        <w:sz w:val="30"/>
      </w:rPr>
    </w:lvl>
    <w:lvl w:ilvl="6">
      <w:start w:val="1"/>
      <w:numFmt w:val="decimal"/>
      <w:lvlText w:val="%1.%2.%3.%4.%5.%6.%7"/>
      <w:lvlJc w:val="left"/>
      <w:pPr>
        <w:ind w:left="1440" w:hanging="1440"/>
      </w:pPr>
      <w:rPr>
        <w:rFonts w:ascii="Times New Roman" w:eastAsia="Times New Roman" w:hAnsi="Times New Roman" w:cs="Times New Roman" w:hint="default"/>
        <w:color w:val="000000"/>
        <w:sz w:val="30"/>
      </w:rPr>
    </w:lvl>
    <w:lvl w:ilvl="7">
      <w:start w:val="1"/>
      <w:numFmt w:val="decimal"/>
      <w:lvlText w:val="%1.%2.%3.%4.%5.%6.%7.%8"/>
      <w:lvlJc w:val="left"/>
      <w:pPr>
        <w:ind w:left="1440" w:hanging="1440"/>
      </w:pPr>
      <w:rPr>
        <w:rFonts w:ascii="Times New Roman" w:eastAsia="Times New Roman" w:hAnsi="Times New Roman" w:cs="Times New Roman" w:hint="default"/>
        <w:color w:val="000000"/>
        <w:sz w:val="30"/>
      </w:rPr>
    </w:lvl>
    <w:lvl w:ilvl="8">
      <w:start w:val="1"/>
      <w:numFmt w:val="decimal"/>
      <w:lvlText w:val="%1.%2.%3.%4.%5.%6.%7.%8.%9"/>
      <w:lvlJc w:val="left"/>
      <w:pPr>
        <w:ind w:left="1440" w:hanging="1440"/>
      </w:pPr>
      <w:rPr>
        <w:rFonts w:ascii="Times New Roman" w:eastAsia="Times New Roman" w:hAnsi="Times New Roman" w:cs="Times New Roman" w:hint="default"/>
        <w:color w:val="000000"/>
        <w:sz w:val="30"/>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 w:numId="10" w16cid:durableId="1730496281">
    <w:abstractNumId w:val="7"/>
  </w:num>
  <w:num w:numId="11" w16cid:durableId="525293670">
    <w:abstractNumId w:val="7"/>
  </w:num>
  <w:num w:numId="12" w16cid:durableId="244070775">
    <w:abstractNumId w:val="7"/>
  </w:num>
  <w:num w:numId="13" w16cid:durableId="924343702">
    <w:abstractNumId w:val="7"/>
  </w:num>
  <w:num w:numId="14" w16cid:durableId="1542547671">
    <w:abstractNumId w:val="7"/>
  </w:num>
  <w:num w:numId="15" w16cid:durableId="1011252319">
    <w:abstractNumId w:val="9"/>
  </w:num>
  <w:num w:numId="16" w16cid:durableId="1082484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54"/>
    <w:rsid w:val="0006063C"/>
    <w:rsid w:val="00061C0F"/>
    <w:rsid w:val="00062E54"/>
    <w:rsid w:val="000C4B8D"/>
    <w:rsid w:val="00111B0F"/>
    <w:rsid w:val="0015074B"/>
    <w:rsid w:val="001878B1"/>
    <w:rsid w:val="001C36ED"/>
    <w:rsid w:val="001D6A84"/>
    <w:rsid w:val="0029639D"/>
    <w:rsid w:val="002B7FCF"/>
    <w:rsid w:val="002C1479"/>
    <w:rsid w:val="00326F90"/>
    <w:rsid w:val="00345AA6"/>
    <w:rsid w:val="0044313E"/>
    <w:rsid w:val="004822CF"/>
    <w:rsid w:val="0052252A"/>
    <w:rsid w:val="005D72BC"/>
    <w:rsid w:val="005F0A8C"/>
    <w:rsid w:val="00617733"/>
    <w:rsid w:val="00651A3C"/>
    <w:rsid w:val="0068076B"/>
    <w:rsid w:val="006827D3"/>
    <w:rsid w:val="00694D2C"/>
    <w:rsid w:val="0074445F"/>
    <w:rsid w:val="00764335"/>
    <w:rsid w:val="007819EB"/>
    <w:rsid w:val="007E666A"/>
    <w:rsid w:val="0080220C"/>
    <w:rsid w:val="00834A0A"/>
    <w:rsid w:val="00855593"/>
    <w:rsid w:val="00895F30"/>
    <w:rsid w:val="008B6954"/>
    <w:rsid w:val="008C4F6C"/>
    <w:rsid w:val="008E4AF9"/>
    <w:rsid w:val="00906DC0"/>
    <w:rsid w:val="009476F9"/>
    <w:rsid w:val="009C29D5"/>
    <w:rsid w:val="00A17C08"/>
    <w:rsid w:val="00A773F2"/>
    <w:rsid w:val="00AA1D8D"/>
    <w:rsid w:val="00AA3D89"/>
    <w:rsid w:val="00AB38B5"/>
    <w:rsid w:val="00B40A17"/>
    <w:rsid w:val="00B47730"/>
    <w:rsid w:val="00B92822"/>
    <w:rsid w:val="00BF0A94"/>
    <w:rsid w:val="00BF1F9D"/>
    <w:rsid w:val="00C41DFC"/>
    <w:rsid w:val="00C60D03"/>
    <w:rsid w:val="00C77C4F"/>
    <w:rsid w:val="00C968E9"/>
    <w:rsid w:val="00C96A92"/>
    <w:rsid w:val="00CA5B96"/>
    <w:rsid w:val="00CB0664"/>
    <w:rsid w:val="00D80E64"/>
    <w:rsid w:val="00D92DA1"/>
    <w:rsid w:val="00DB5723"/>
    <w:rsid w:val="00DC0B50"/>
    <w:rsid w:val="00E52F43"/>
    <w:rsid w:val="00E5317A"/>
    <w:rsid w:val="00FA28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8E5F4B7F-784F-484A-910A-F339F4835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6514</Words>
  <Characters>37134</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A Predictive Machine Learning Framework for Ergonomic Risk in Last-Mile Quick-Commerce Delivery Operations</vt:lpstr>
    </vt:vector>
  </TitlesOfParts>
  <Manager/>
  <Company/>
  <LinksUpToDate>false</LinksUpToDate>
  <CharactersWithSpaces>43561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24</cp:revision>
  <dcterms:created xsi:type="dcterms:W3CDTF">2013-12-23T23:15:00Z</dcterms:created>
  <dcterms:modified xsi:type="dcterms:W3CDTF">2026-07-09T09:22:00Z</dcterms:modified>
  <cp:category/>
</cp:coreProperties>
</file>