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auditable by hand)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fairly.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spacing w:before="160" w:after="4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11. Web interface, header and sample-profile shortcuts above the demographic section (Q1-17).</w:t>
      </w:r>
    </w:p>
    <w:p>
      <w:pPr>
        <w:spacing w:before="160" w:after="4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12. Web interface, Nordic Musculoskeletal Questionnaire (Q18-24).</w:t>
      </w:r>
    </w:p>
    <w:p>
      <w:pPr>
        <w:spacing w:before="160" w:after="4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13. Web interface, NASA-TLX workload (Q25-30) and Borg CR10 fatigue (Q31-36) sliders.</w:t>
      </w:r>
    </w:p>
    <w:p>
      <w:pPr>
        <w:spacing w:before="160" w:after="4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14. Web interface, RULA posture observation (11 inputs) and Quick Exposure Check (8 inputs) followed by the Predict button.</w:t>
      </w:r>
    </w:p>
    <w:p>
      <w:pPr>
        <w:spacing w:before="160" w:after="4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00"/>
        <w:jc w:val="center"/>
      </w:pPr>
      <w:r>
        <w:rPr>
          <w:rFonts w:ascii="Calibri" w:hAnsi="Calibri" w:cs="Calibri" w:eastAsia="Calibri"/>
          <w:i/>
          <w:color w:val="555555"/>
          <w:sz w:val="20"/>
        </w:rPr>
        <w:t>Figure 15. Web interface, predicted risk profile with colour-coded bars per factor, summary banner, and risk-band recommendations.</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landed exactly on 3.889 dph (= 35 deliveries / 9 hours, which is the worst real combination in the sample), and 55 of 182 riders were tied at that value. qcut is right-inclusive at the upper edge, so all 55 fell into Medium. That left the Stage-2 model with no High example matching the busiest schedule and so it could not predict High for that rider whatever the features. Replacing qcut with fixed cuts at 2.5 and 3.75 puts the worst case in High where it belongs. The accompanying cost is a drop in Stage-2 accuracy from 74 to 62 percent (Stage-1 High grew from 19 to 74 examples). The lower number is the more meaningful one because the model is now solving a real 3-class problem instead of memorising a 19-row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