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48"/>
        </w:rPr>
        <w:t>Ergonomic Risk Factor Prediction</w:t>
      </w:r>
    </w:p>
    <w:p>
      <w:pPr>
        <w:spacing w:after="360" w:before="0"/>
      </w:pPr>
      <w:r>
        <w:rPr>
          <w:rFonts w:ascii="Calibri" w:hAnsi="Calibri" w:cs="Calibri" w:eastAsia="Calibri"/>
          <w:b w:val="0"/>
          <w:i/>
          <w:color w:val="555555"/>
          <w:sz w:val="22"/>
        </w:rPr>
        <w:t>Per-rider risk profiling for food-delivery riders</w:t>
      </w:r>
    </w:p>
    <w:p>
      <w:pPr>
        <w:keepNext/>
        <w:spacing w:before="320" w:after="80"/>
      </w:pPr>
      <w:r>
        <w:rPr>
          <w:rFonts w:ascii="Calibri" w:hAnsi="Calibri" w:cs="Calibri" w:eastAsia="Calibri"/>
          <w:b/>
          <w:color w:val="1F3B73"/>
          <w:sz w:val="32"/>
        </w:rPr>
        <w:t>Background</w:t>
      </w:r>
    </w:p>
    <w:p>
      <w:pPr>
        <w:spacing w:after="160" w:before="0"/>
      </w:pPr>
      <w:r>
        <w:rPr>
          <w:rFonts w:ascii="Calibri" w:hAnsi="Calibri" w:cs="Calibri" w:eastAsia="Calibri"/>
          <w:b w:val="0"/>
          <w:i w:val="0"/>
          <w:color w:val="222222"/>
          <w:sz w:val="22"/>
        </w:rPr>
        <w:t>Food-delivery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before="0"/>
      </w:pPr>
      <w:r>
        <w:rPr>
          <w:rFonts w:ascii="Calibri" w:hAnsi="Calibri" w:cs="Calibri" w:eastAsia="Calibri"/>
          <w:b w:val="0"/>
          <w:i w:val="0"/>
          <w:color w:val="222222"/>
          <w:sz w:val="22"/>
        </w:rPr>
        <w:t>Ergonomists have standard ways of measuring this kind of strain: RULA (Rapid Upper Limb Assessment) scores the posture of a worker's upper body; QEC (Quick Exposure Check) gives a composite of body-region and exposure scores; the Nordic Musculoskeletal Questionnaire (NMQ) records pain across 9 body areas; NASA-TLX rates the mental workload of a task; Borg CR10 records perceived physical effort on a 0 to 10 scale. Each of these gives useful information on its own. The project takes all of them together and produces a single per-rider risk profile across six ergonomic dimensions: Force, Repetition, Posture, Duration, Contact Stress, Vibration.</w:t>
      </w:r>
    </w:p>
    <w:p>
      <w:pPr>
        <w:keepNext/>
        <w:spacing w:before="320" w:after="80"/>
      </w:pPr>
      <w:r>
        <w:rPr>
          <w:rFonts w:ascii="Calibri" w:hAnsi="Calibri" w:cs="Calibri" w:eastAsia="Calibri"/>
          <w:b/>
          <w:color w:val="1F3B73"/>
          <w:sz w:val="32"/>
        </w:rPr>
        <w:t>What the project does</w:t>
      </w:r>
    </w:p>
    <w:p>
      <w:pPr>
        <w:spacing w:after="160" w:before="0"/>
      </w:pPr>
      <w:r>
        <w:rPr>
          <w:rFonts w:ascii="Calibri" w:hAnsi="Calibri" w:cs="Calibri" w:eastAsia="Calibri"/>
          <w:b w:val="0"/>
          <w:i w:val="0"/>
          <w:color w:val="222222"/>
          <w:sz w:val="22"/>
        </w:rPr>
        <w:t>We collected survey responses from 182 riders along with 182 RULA and QEC observation records. The pipeline cleans this data, applies standard ergonomic thresholds to compute Low / Medium / High labels for each of the six risk factors, then trains a separate classifier per factor so a new rider's profile can be screened automatically. The output is wired into a Streamlit web app where someone can fill in the rider's questionnaire (plus optional RULA and QEC scores), click Predict, and read six coloured risk levels.</w:t>
      </w:r>
    </w:p>
    <w:p>
      <w:pPr>
        <w:spacing w:after="160" w:before="0"/>
      </w:pPr>
      <w:r>
        <w:rPr>
          <w:rFonts w:ascii="Calibri" w:hAnsi="Calibri" w:cs="Calibri" w:eastAsia="Calibri"/>
          <w:b w:val="0"/>
          <w:i w:val="0"/>
          <w:color w:val="222222"/>
          <w:sz w:val="22"/>
        </w:rPr>
        <w:t>The work is split across seven Jupyter notebooks:</w:t>
      </w:r>
    </w:p>
    <w:p>
      <w:pPr>
        <w:pStyle w:val="ListBullet"/>
        <w:spacing w:after="40"/>
      </w:pPr>
      <w:r>
        <w:rPr>
          <w:rFonts w:ascii="Calibri" w:hAnsi="Calibri" w:cs="Calibri" w:eastAsia="Calibri"/>
          <w:color w:val="222222"/>
          <w:sz w:val="22"/>
        </w:rPr>
        <w:t>01_data_cleaning - normalise the raw CSV and validate</w:t>
      </w:r>
    </w:p>
    <w:p>
      <w:pPr>
        <w:pStyle w:val="ListBullet"/>
        <w:spacing w:after="40"/>
      </w:pPr>
      <w:r>
        <w:rPr>
          <w:rFonts w:ascii="Calibri" w:hAnsi="Calibri" w:cs="Calibri" w:eastAsia="Calibri"/>
          <w:color w:val="222222"/>
          <w:sz w:val="22"/>
        </w:rPr>
        <w:t>02_feature_engineering - encode categoricals, derive composite scores, merge the posture observations into the survey by severity rank</w:t>
      </w:r>
    </w:p>
    <w:p>
      <w:pPr>
        <w:pStyle w:val="ListBullet"/>
        <w:spacing w:after="40"/>
      </w:pPr>
      <w:r>
        <w:rPr>
          <w:rFonts w:ascii="Calibri" w:hAnsi="Calibri" w:cs="Calibri" w:eastAsia="Calibri"/>
          <w:color w:val="222222"/>
          <w:sz w:val="22"/>
        </w:rPr>
        <w:t>03_risk_scoring - apply standard thresholds to compute the six Low/Medium/High labels per rider</w:t>
      </w:r>
    </w:p>
    <w:p>
      <w:pPr>
        <w:pStyle w:val="ListBullet"/>
        <w:spacing w:after="40"/>
      </w:pPr>
      <w:r>
        <w:rPr>
          <w:rFonts w:ascii="Calibri" w:hAnsi="Calibri" w:cs="Calibri" w:eastAsia="Calibri"/>
          <w:color w:val="222222"/>
          <w:sz w:val="22"/>
        </w:rPr>
        <w:t>04_eda - figures: demographics, NMQ prevalence, risk distribution, discomfort by group, correlation heatmap</w:t>
      </w:r>
    </w:p>
    <w:p>
      <w:pPr>
        <w:pStyle w:val="ListBullet"/>
        <w:spacing w:after="40"/>
      </w:pPr>
      <w:r>
        <w:rPr>
          <w:rFonts w:ascii="Calibri" w:hAnsi="Calibri" w:cs="Calibri" w:eastAsia="Calibri"/>
          <w:color w:val="222222"/>
          <w:sz w:val="22"/>
        </w:rPr>
        <w:t>05_stats - chi-square and logistic regression</w:t>
      </w:r>
    </w:p>
    <w:p>
      <w:pPr>
        <w:pStyle w:val="ListBullet"/>
        <w:spacing w:after="40"/>
      </w:pPr>
      <w:r>
        <w:rPr>
          <w:rFonts w:ascii="Calibri" w:hAnsi="Calibri" w:cs="Calibri" w:eastAsia="Calibri"/>
          <w:color w:val="222222"/>
          <w:sz w:val="22"/>
        </w:rPr>
        <w:t>06_modeling - SMOTE + GridSearchCV across 7 algorithms per target, keep the best by F1 macro</w:t>
      </w:r>
    </w:p>
    <w:p>
      <w:pPr>
        <w:pStyle w:val="ListBullet"/>
        <w:spacing w:after="40"/>
      </w:pPr>
      <w:r>
        <w:rPr>
          <w:rFonts w:ascii="Calibri" w:hAnsi="Calibri" w:cs="Calibri" w:eastAsia="Calibri"/>
          <w:color w:val="222222"/>
          <w:sz w:val="22"/>
        </w:rPr>
        <w:t>07_evaluation - confusion matrices, ROC curves, feature importance</w:t>
      </w:r>
    </w:p>
    <w:p>
      <w:pPr>
        <w:spacing w:after="160" w:before="0"/>
      </w:pPr>
      <w:r>
        <w:rPr>
          <w:rFonts w:ascii="Calibri" w:hAnsi="Calibri" w:cs="Calibri" w:eastAsia="Calibri"/>
          <w:b w:val="0"/>
          <w:i w:val="0"/>
          <w:color w:val="222222"/>
          <w:sz w:val="22"/>
        </w:rPr>
        <w:t>Two helper scripts produce the polished outputs. src/build_results_deck.py appends the Phase 4 to 7 figures and result tables onto the original presentation deck. src/build_project_doc.py (this script) builds the Word version of the project write-up.</w:t>
      </w:r>
    </w:p>
    <w:p>
      <w:pPr>
        <w:keepNext/>
        <w:spacing w:before="320" w:after="80"/>
      </w:pPr>
      <w:r>
        <w:rPr>
          <w:rFonts w:ascii="Calibri" w:hAnsi="Calibri" w:cs="Calibri" w:eastAsia="Calibri"/>
          <w:b/>
          <w:color w:val="1F3B73"/>
          <w:sz w:val="32"/>
        </w:rPr>
        <w:t>The six risk factors</w:t>
      </w:r>
    </w:p>
    <w:p>
      <w:pPr>
        <w:spacing w:after="160" w:before="0"/>
      </w:pPr>
      <w:r>
        <w:rPr>
          <w:rFonts w:ascii="Calibri" w:hAnsi="Calibri" w:cs="Calibri" w:eastAsia="Calibri"/>
          <w:b w:val="0"/>
          <w:i w:val="0"/>
          <w:color w:val="222222"/>
          <w:sz w:val="22"/>
        </w:rPr>
        <w:t>Each factor is computed in Phase 3 using a standard ergonomic method and binned into Low, Medium, or High.</w:t>
      </w:r>
    </w:p>
    <w:p>
      <w:pPr>
        <w:keepNext/>
        <w:spacing w:before="200" w:after="80"/>
      </w:pPr>
      <w:r>
        <w:rPr>
          <w:rFonts w:ascii="Calibri" w:hAnsi="Calibri" w:cs="Calibri" w:eastAsia="Calibri"/>
          <w:b/>
          <w:color w:val="2E86AB"/>
          <w:sz w:val="26"/>
        </w:rPr>
        <w:t>Force</w:t>
      </w:r>
    </w:p>
    <w:p>
      <w:pPr>
        <w:spacing w:after="160" w:before="0"/>
      </w:pPr>
      <w:r>
        <w:rPr>
          <w:rFonts w:ascii="Calibri" w:hAnsi="Calibri" w:cs="Calibri" w:eastAsia="Calibri"/>
          <w:b w:val="0"/>
          <w:i w:val="0"/>
          <w:color w:val="222222"/>
          <w:sz w:val="22"/>
        </w:rPr>
        <w:t>How hard the rider has to lift or push. We use the Borg CR10 lifting item. Action levels are the conventional Borg cut-offs: 0 to 3 is Low (acceptable), 4 to 6 is Medium (monitor), 7 to 10 is High (intervene).</w:t>
      </w:r>
    </w:p>
    <w:p>
      <w:pPr>
        <w:keepNext/>
        <w:spacing w:before="200" w:after="80"/>
      </w:pPr>
      <w:r>
        <w:rPr>
          <w:rFonts w:ascii="Calibri" w:hAnsi="Calibri" w:cs="Calibri" w:eastAsia="Calibri"/>
          <w:b/>
          <w:color w:val="2E86AB"/>
          <w:sz w:val="26"/>
        </w:rPr>
        <w:t>Repetition</w:t>
      </w:r>
    </w:p>
    <w:p>
      <w:pPr>
        <w:spacing w:after="160" w:before="0"/>
      </w:pPr>
      <w:r>
        <w:rPr>
          <w:rFonts w:ascii="Calibri" w:hAnsi="Calibri" w:cs="Calibri" w:eastAsia="Calibri"/>
          <w:b w:val="0"/>
          <w:i w:val="0"/>
          <w:color w:val="222222"/>
          <w:sz w:val="22"/>
        </w:rPr>
        <w:t>Deliveries per hour, computed as deliveries_num divided by work_hours_num. The original Phase 3 binning used pandas qcut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in the Limitations section.</w:t>
      </w:r>
    </w:p>
    <w:p>
      <w:pPr>
        <w:keepNext/>
        <w:spacing w:before="200" w:after="80"/>
      </w:pPr>
      <w:r>
        <w:rPr>
          <w:rFonts w:ascii="Calibri" w:hAnsi="Calibri" w:cs="Calibri" w:eastAsia="Calibri"/>
          <w:b/>
          <w:color w:val="2E86AB"/>
          <w:sz w:val="26"/>
        </w:rPr>
        <w:t>Posture</w:t>
      </w:r>
    </w:p>
    <w:p>
      <w:pPr>
        <w:spacing w:after="160" w:before="0"/>
      </w:pPr>
      <w:r>
        <w:rPr>
          <w:rFonts w:ascii="Calibri" w:hAnsi="Calibri" w:cs="Calibri" w:eastAsia="Calibri"/>
          <w:b w:val="0"/>
          <w:i w:val="0"/>
          <w:color w:val="222222"/>
          <w:sz w:val="22"/>
        </w:rPr>
        <w:t>RULA Table C, the final score from the standard RULA worksheet. The conventional action levels are 1 to 2 Low, 3 to 4 Medium, 5 or higher High.</w:t>
      </w:r>
    </w:p>
    <w:p>
      <w:pPr>
        <w:keepNext/>
        <w:spacing w:before="200" w:after="80"/>
      </w:pPr>
      <w:r>
        <w:rPr>
          <w:rFonts w:ascii="Calibri" w:hAnsi="Calibri" w:cs="Calibri" w:eastAsia="Calibri"/>
          <w:b/>
          <w:color w:val="2E86AB"/>
          <w:sz w:val="26"/>
        </w:rPr>
        <w:t>Duration</w:t>
      </w:r>
    </w:p>
    <w:p>
      <w:pPr>
        <w:spacing w:after="160" w:before="0"/>
      </w:pPr>
      <w:r>
        <w:rPr>
          <w:rFonts w:ascii="Calibri" w:hAnsi="Calibri" w:cs="Calibri" w:eastAsia="Calibri"/>
          <w:b w:val="0"/>
          <w:i w:val="0"/>
          <w:color w:val="222222"/>
          <w:sz w:val="22"/>
        </w:rPr>
        <w:t>Continuous riding hours. 5 hours or less is Low, 6 to 7 is Medium, more than 7 is High.</w:t>
      </w:r>
    </w:p>
    <w:p>
      <w:pPr>
        <w:keepNext/>
        <w:spacing w:before="200" w:after="80"/>
      </w:pPr>
      <w:r>
        <w:rPr>
          <w:rFonts w:ascii="Calibri" w:hAnsi="Calibri" w:cs="Calibri" w:eastAsia="Calibri"/>
          <w:b/>
          <w:color w:val="2E86AB"/>
          <w:sz w:val="26"/>
        </w:rPr>
        <w:t>Contact Stress</w:t>
      </w:r>
    </w:p>
    <w:p>
      <w:pPr>
        <w:spacing w:after="160" w:before="0"/>
      </w:pPr>
      <w:r>
        <w:rPr>
          <w:rFonts w:ascii="Calibri" w:hAnsi="Calibri" w:cs="Calibri" w:eastAsia="Calibri"/>
          <w:b w:val="0"/>
          <w:i w:val="0"/>
          <w:color w:val="222222"/>
          <w:sz w:val="22"/>
        </w:rPr>
        <w:t>How much load presses against the rider's body. A composite of carrying mode (storage box, backpack, handlebar, handheld), working hours, and a small age multiplier. We bin into terciles.</w:t>
      </w:r>
    </w:p>
    <w:p>
      <w:pPr>
        <w:keepNext/>
        <w:spacing w:before="200" w:after="80"/>
      </w:pPr>
      <w:r>
        <w:rPr>
          <w:rFonts w:ascii="Calibri" w:hAnsi="Calibri" w:cs="Calibri" w:eastAsia="Calibri"/>
          <w:b/>
          <w:color w:val="2E86AB"/>
          <w:sz w:val="26"/>
        </w:rPr>
        <w:t>Vibration</w:t>
      </w:r>
    </w:p>
    <w:p>
      <w:pPr>
        <w:spacing w:after="160" w:before="0"/>
      </w:pPr>
      <w:r>
        <w:rPr>
          <w:rFonts w:ascii="Calibri" w:hAnsi="Calibri" w:cs="Calibri" w:eastAsia="Calibri"/>
          <w:b w:val="0"/>
          <w:i w:val="0"/>
          <w:color w:val="222222"/>
          <w:sz w:val="22"/>
        </w:rPr>
        <w:t>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320" w:after="80"/>
      </w:pPr>
      <w:r>
        <w:rPr>
          <w:rFonts w:ascii="Calibri" w:hAnsi="Calibri" w:cs="Calibri" w:eastAsia="Calibri"/>
          <w:b/>
          <w:color w:val="1F3B73"/>
          <w:sz w:val="32"/>
        </w:rPr>
        <w:t>Data</w:t>
      </w:r>
    </w:p>
    <w:p>
      <w:pPr>
        <w:spacing w:after="160" w:before="0"/>
      </w:pPr>
      <w:r>
        <w:rPr>
          <w:rFonts w:ascii="Calibri" w:hAnsi="Calibri" w:cs="Calibri" w:eastAsia="Calibri"/>
          <w:b w:val="0"/>
          <w:i w:val="0"/>
          <w:color w:val="222222"/>
          <w:sz w:val="22"/>
        </w:rPr>
        <w:t>Two files. data/raw/delivery_rider_survey.csv has 182 rows and 48 columns. Questions 1 to 17 cover demographics, lifestyle, and work pattern. Q18 is the Nordic 12-month body-pain inventory across 9 body areas. Q19 covers the previous 7 days for 4 areas. Q20 to Q24 are follow-up Yes/No items about whether discomfort affected performance, whether the rider took leave, saw a doctor, and so on. Q25 to Q30 are the six NASA-TLX 0-100 sliders. Q31 to Q36 are the six Borg CR10 0-10 items.</w:t>
      </w:r>
    </w:p>
    <w:p>
      <w:pPr>
        <w:spacing w:after="160" w:before="0"/>
      </w:pPr>
      <w:r>
        <w:rPr>
          <w:rFonts w:ascii="Calibri" w:hAnsi="Calibri" w:cs="Calibri" w:eastAsia="Calibri"/>
          <w:b w:val="0"/>
          <w:i w:val="0"/>
          <w:color w:val="222222"/>
          <w:sz w:val="22"/>
        </w:rPr>
        <w:t>data/raw/posture_data.xlsx has 182 observation records spread across the sheets. Each record carries 11 RULA components (upper_arm, lower_arm, wrist, wrist_twist, neck_position, trunk_position, legs, muscle_a, force_a, muscle_b, force_b), 3 derived RULA Table scores (a, b, c), and 8 QEC scores (qec_back, qec_shoulder_arm, qec_wrist_hand, qec_neck, qec_driving, qec_vibration, qec_work_pace, qec_stress).</w:t>
      </w:r>
    </w:p>
    <w:p>
      <w:pPr>
        <w:spacing w:after="160" w:before="0"/>
      </w:pPr>
      <w:r>
        <w:rPr>
          <w:rFonts w:ascii="Calibri" w:hAnsi="Calibri" w:cs="Calibri" w:eastAsia="Calibri"/>
          <w:b w:val="0"/>
          <w:i w:val="0"/>
          <w:color w:val="222222"/>
          <w:sz w:val="22"/>
        </w:rPr>
        <w:t>The observation records do not carry a rider identifier. Phase 2 Step 8 pairs them to the survey using a severity-rank merge: riders are ranked by an exposure-severity score (NMQ count + fatigue_score + work_hours_num, each normalised), the observation rows are ranked by rula_table_c, and the two are joined rank to rank. The implication is discussed under Limitations.</w:t>
      </w:r>
    </w:p>
    <w:p>
      <w:pPr>
        <w:keepNext/>
        <w:spacing w:before="320" w:after="80"/>
      </w:pPr>
      <w:r>
        <w:rPr>
          <w:rFonts w:ascii="Calibri" w:hAnsi="Calibri" w:cs="Calibri" w:eastAsia="Calibri"/>
          <w:b/>
          <w:color w:val="1F3B73"/>
          <w:sz w:val="32"/>
        </w:rPr>
        <w:t>Feature engineering</w:t>
      </w:r>
    </w:p>
    <w:p>
      <w:pPr>
        <w:spacing w:after="160" w:before="0"/>
      </w:pPr>
      <w:r>
        <w:rPr>
          <w:rFonts w:ascii="Calibri" w:hAnsi="Calibri" w:cs="Calibri" w:eastAsia="Calibri"/>
          <w:b w:val="0"/>
          <w:i w:val="0"/>
          <w:color w:val="222222"/>
          <w:sz w:val="22"/>
        </w:rPr>
        <w:t>Phase 2 turns the raw values into the columns the models can consume. Binned categoricals get ordinal codes (age_ord, education_ord, income_ord, job_duration_ord). Bins that come as ranges get numeric midpoints (work_hours_num, deliveries_num, work_days_num, rest_break_num). Yes/No questions become 0/1. The vehicle type and carrying mode are ranked from least to most strenuous. Six NASA-TLX items collapse into workload_score (simple mean, with the satisfaction item running in load-direction). The six Borg items collapse into fatigue_score. force_exertion is the Borg lifting item by itself. vibration_index is vehicle_rank multiplied by work_hours_num.</w:t>
      </w:r>
    </w:p>
    <w:p>
      <w:pPr>
        <w:spacing w:after="160" w:before="0"/>
      </w:pPr>
      <w:r>
        <w:rPr>
          <w:rFonts w:ascii="Calibri" w:hAnsi="Calibri" w:cs="Calibri" w:eastAsia="Calibri"/>
          <w:b w:val="0"/>
          <w:i w:val="0"/>
          <w:color w:val="222222"/>
          <w:sz w:val="22"/>
        </w:rPr>
        <w:t>Five interaction features are added so a model can pick up that, for example, an older rider with high workload is at extra risk: workload_x_fatigue, workload_x_age, force_x_age, fatigue_x_jobdur, deliv_x_days. Phase 2 Step 5b adds gender, region, marital status, delivery platform, type of break, tobacco use, and alcohol use as ordinal ranks. Step 4b creates short-name aliases for the 18 Yes/No NMQ + 7-day + outcome items so the feature pool stays readable. The Posture observations are merged in Step 8 by severity rank.</w:t>
      </w:r>
    </w:p>
    <w:p>
      <w:pPr>
        <w:spacing w:after="160" w:before="0"/>
      </w:pPr>
      <w:r>
        <w:rPr>
          <w:rFonts w:ascii="Calibri" w:hAnsi="Calibri" w:cs="Calibri" w:eastAsia="Calibri"/>
          <w:b w:val="0"/>
          <w:i w:val="0"/>
          <w:color w:val="222222"/>
          <w:sz w:val="22"/>
        </w:rPr>
        <w:t>The resulting data/processed/model_ready.csv has 182 rows and 121 columns.</w:t>
      </w:r>
    </w:p>
    <w:p>
      <w:pPr>
        <w:keepNext/>
        <w:spacing w:before="320" w:after="80"/>
      </w:pPr>
      <w:r>
        <w:rPr>
          <w:rFonts w:ascii="Calibri" w:hAnsi="Calibri" w:cs="Calibri" w:eastAsia="Calibri"/>
          <w:b/>
          <w:color w:val="1F3B73"/>
          <w:sz w:val="32"/>
        </w:rPr>
        <w:t>Risk scoring</w:t>
      </w:r>
    </w:p>
    <w:p>
      <w:pPr>
        <w:spacing w:after="160" w:before="0"/>
      </w:pPr>
      <w:r>
        <w:rPr>
          <w:rFonts w:ascii="Calibri" w:hAnsi="Calibri" w:cs="Calibri" w:eastAsia="Calibri"/>
          <w:b w:val="0"/>
          <w:i w:val="0"/>
          <w:color w:val="222222"/>
          <w:sz w:val="22"/>
        </w:rPr>
        <w:t>Phase 3 takes model_ready.csv and applies the thresholds described under The six risk factors. It writes data/processed/risk_profile.csv with the six string labels (force_risk, repetition_risk, etc.) and their integer codes (force_risk_code etc., 0/1/2 for Low/Medium/High).</w:t>
      </w:r>
    </w:p>
    <w:p>
      <w:pPr>
        <w:keepNext/>
        <w:spacing w:before="320" w:after="80"/>
      </w:pPr>
      <w:r>
        <w:rPr>
          <w:rFonts w:ascii="Calibri" w:hAnsi="Calibri" w:cs="Calibri" w:eastAsia="Calibri"/>
          <w:b/>
          <w:color w:val="1F3B73"/>
          <w:sz w:val="32"/>
        </w:rPr>
        <w:t>Models</w:t>
      </w:r>
    </w:p>
    <w:p>
      <w:pPr>
        <w:spacing w:after="160" w:before="0"/>
      </w:pPr>
      <w:r>
        <w:rPr>
          <w:rFonts w:ascii="Calibri" w:hAnsi="Calibri" w:cs="Calibri" w:eastAsia="Calibri"/>
          <w:b w:val="0"/>
          <w:i w:val="0"/>
          <w:color w:val="222222"/>
          <w:sz w:val="22"/>
        </w:rPr>
        <w:t>Phase 6 trains a separate classifier per risk factor. Seven candidate algorithms are evaluated for each target: Logistic Regression, Decision Tree, Random Forest, Extra Trees, Hist Gradient Boosting, XGBoost, and a Stacking ensemble that combines RF, ExtraTrees, XGBoost, and HistGBM with a Logistic Regression meta-learner. Each candidate is wrapped in an imbalanced-learn pipeline that runs SMOTE inside every CV fold to balance the minority class. Hyperparameters are tuned via GridSearchCV on F1 macro with StratifiedKFold(5). The best-by-F1 model per target is refit on the full sample and saved to outputs/models/best_&lt;factor&gt;.pkl.</w:t>
      </w:r>
    </w:p>
    <w:p>
      <w:pPr>
        <w:spacing w:after="160" w:before="0"/>
      </w:pPr>
      <w:r>
        <w:rPr>
          <w:rFonts w:ascii="Calibri" w:hAnsi="Calibri" w:cs="Calibri" w:eastAsia="Calibri"/>
          <w:b w:val="0"/>
          <w:i w:val="0"/>
          <w:color w:val="222222"/>
          <w:sz w:val="22"/>
        </w:rPr>
        <w:t>Each saved bundle is a dict with three keys: model (the fitted imbalanced-learn pipeline), features (the exact list of feature names the model was trained on), and classes (the original integer class codes so the LabelEncoded output can be mapped back). src/predict.py reads the features list straight from the bundle, so adding new features in Phase 2 requires no code change in predict.py.</w:t>
      </w:r>
    </w:p>
    <w:p>
      <w:pPr>
        <w:spacing w:after="160" w:before="0"/>
      </w:pPr>
      <w:r>
        <w:rPr>
          <w:rFonts w:ascii="Calibri" w:hAnsi="Calibri" w:cs="Calibri" w:eastAsia="Calibri"/>
          <w:b w:val="0"/>
          <w:i w:val="0"/>
          <w:color w:val="222222"/>
          <w:sz w:val="22"/>
        </w:rPr>
        <w:t>Each factor's defining input is excluded from its own feature pool, otherwise the model would simply memorise the Stage-1 rule. Force excludes force_exertion and force_x_age. Repetition excludes deliveries_num, work_hours_num, and deliv_x_days. Duration excludes work_hours_num and vibration_index (the second was a leakage discovery, see Limitations). Vibration excludes vibration_index, vehicle_rank, and work_hours_num. Contact Stress excludes carrying_contact_rank and work_hours_num. Posture does not exclude anything from the survey pool but is also given the 11 RULA components and 8 QEC scores; the three derived RULA Table scores are excluded as direct leakage because posture_risk is rula_table_c binned.</w:t>
      </w:r>
    </w:p>
    <w:p>
      <w:pPr>
        <w:keepNext/>
        <w:spacing w:before="320" w:after="80"/>
      </w:pPr>
      <w:r>
        <w:rPr>
          <w:rFonts w:ascii="Calibri" w:hAnsi="Calibri" w:cs="Calibri" w:eastAsia="Calibri"/>
          <w:b/>
          <w:color w:val="1F3B73"/>
          <w:sz w:val="32"/>
        </w:rPr>
        <w:t>Sample and findings</w:t>
      </w:r>
    </w:p>
    <w:p>
      <w:pPr>
        <w:spacing w:after="160" w:before="0"/>
      </w:pPr>
      <w:r>
        <w:rPr>
          <w:rFonts w:ascii="Calibri" w:hAnsi="Calibri" w:cs="Calibri" w:eastAsia="Calibri"/>
          <w:b w:val="0"/>
          <w:i w:val="0"/>
          <w:color w:val="222222"/>
          <w:sz w:val="22"/>
        </w:rPr>
        <w:t>The sample is 152 male and 30 female. Age skews young: 78 riders under 25, 66 in the 25 to 35 band, 30 in 36 to 45, and 8 in 46 and above. 49 percent of the sample works more than 8 hours per day. 94 ride scooters and 88 ride motor bikes. Blinkit accounts for 97 riders, Zepto for 80, with 5 working both platforms.</w:t>
      </w:r>
    </w:p>
    <w:p>
      <w:pPr>
        <w:spacing w:after="160" w:before="0"/>
      </w:pPr>
      <w:r>
        <w:rPr>
          <w:rFonts w:ascii="Calibri" w:hAnsi="Calibri" w:cs="Calibri" w:eastAsia="Calibri"/>
          <w:b w:val="0"/>
          <w:i w:val="0"/>
          <w:color w:val="222222"/>
          <w:sz w:val="22"/>
        </w:rPr>
        <w:t>84.6 percent of the riders reported pain in at least one body area in the last 12 months. Lower back is the most common complaint at 61.5 percent, followed by upper back (49.5%), shoulders (46.7%), wrists and hands (45.1%), hips and thighs (41.2%), ankles and feet (40.7%), knees (39.6%), neck (37.9%), and elbows (33.5%).</w:t>
      </w:r>
    </w:p>
    <w:p>
      <w:pPr>
        <w:keepNext/>
        <w:spacing w:before="200" w:after="80"/>
      </w:pPr>
      <w:r>
        <w:rPr>
          <w:rFonts w:ascii="Calibri" w:hAnsi="Calibri" w:cs="Calibri" w:eastAsia="Calibri"/>
          <w:b/>
          <w:color w:val="2E86AB"/>
          <w:sz w:val="26"/>
        </w:rPr>
        <w:t>Stage-1 risk distribution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835"/>
            <w:shd w:fill="1F3B73"/>
          </w:tcPr>
          <w:p>
            <w:r/>
            <w:r>
              <w:rPr>
                <w:rFonts w:ascii="Calibri" w:hAnsi="Calibri" w:cs="Calibri" w:eastAsia="Calibri"/>
                <w:b/>
                <w:color w:val="FFFFFF"/>
                <w:sz w:val="20"/>
              </w:rPr>
              <w:t>Factor</w:t>
            </w:r>
          </w:p>
        </w:tc>
        <w:tc>
          <w:tcPr>
            <w:tcW w:type="dxa" w:w="1361"/>
            <w:shd w:fill="1F3B73"/>
          </w:tcPr>
          <w:p>
            <w:r/>
            <w:r>
              <w:rPr>
                <w:rFonts w:ascii="Calibri" w:hAnsi="Calibri" w:cs="Calibri" w:eastAsia="Calibri"/>
                <w:b/>
                <w:color w:val="FFFFFF"/>
                <w:sz w:val="20"/>
              </w:rPr>
              <w:t>Low</w:t>
            </w:r>
          </w:p>
        </w:tc>
        <w:tc>
          <w:tcPr>
            <w:tcW w:type="dxa" w:w="1361"/>
            <w:shd w:fill="1F3B73"/>
          </w:tcPr>
          <w:p>
            <w:r/>
            <w:r>
              <w:rPr>
                <w:rFonts w:ascii="Calibri" w:hAnsi="Calibri" w:cs="Calibri" w:eastAsia="Calibri"/>
                <w:b/>
                <w:color w:val="FFFFFF"/>
                <w:sz w:val="20"/>
              </w:rPr>
              <w:t>Medium</w:t>
            </w:r>
          </w:p>
        </w:tc>
        <w:tc>
          <w:tcPr>
            <w:tcW w:type="dxa" w:w="1361"/>
            <w:shd w:fill="1F3B73"/>
          </w:tcPr>
          <w:p>
            <w:r/>
            <w:r>
              <w:rPr>
                <w:rFonts w:ascii="Calibri" w:hAnsi="Calibri" w:cs="Calibri" w:eastAsia="Calibri"/>
                <w:b/>
                <w:color w:val="FFFFFF"/>
                <w:sz w:val="20"/>
              </w:rPr>
              <w:t>High</w:t>
            </w:r>
          </w:p>
        </w:tc>
      </w:tr>
      <w:tr>
        <w:tc>
          <w:tcPr>
            <w:tcW w:type="dxa" w:w="2835"/>
          </w:tcPr>
          <w:p>
            <w:r/>
            <w:r>
              <w:rPr>
                <w:rFonts w:ascii="Calibri" w:hAnsi="Calibri" w:cs="Calibri" w:eastAsia="Calibri"/>
                <w:color w:val="222222"/>
                <w:sz w:val="20"/>
              </w:rPr>
              <w:t>Force</w:t>
            </w:r>
          </w:p>
        </w:tc>
        <w:tc>
          <w:tcPr>
            <w:tcW w:type="dxa" w:w="1361"/>
          </w:tcPr>
          <w:p>
            <w:r/>
            <w:r>
              <w:rPr>
                <w:rFonts w:ascii="Calibri" w:hAnsi="Calibri" w:cs="Calibri" w:eastAsia="Calibri"/>
                <w:color w:val="222222"/>
                <w:sz w:val="20"/>
              </w:rPr>
              <w:t>90</w:t>
            </w:r>
          </w:p>
        </w:tc>
        <w:tc>
          <w:tcPr>
            <w:tcW w:type="dxa" w:w="1361"/>
          </w:tcPr>
          <w:p>
            <w:r/>
            <w:r>
              <w:rPr>
                <w:rFonts w:ascii="Calibri" w:hAnsi="Calibri" w:cs="Calibri" w:eastAsia="Calibri"/>
                <w:color w:val="222222"/>
                <w:sz w:val="20"/>
              </w:rPr>
              <w:t>57</w:t>
            </w:r>
          </w:p>
        </w:tc>
        <w:tc>
          <w:tcPr>
            <w:tcW w:type="dxa" w:w="1361"/>
          </w:tcPr>
          <w:p>
            <w:r/>
            <w:r>
              <w:rPr>
                <w:rFonts w:ascii="Calibri" w:hAnsi="Calibri" w:cs="Calibri" w:eastAsia="Calibri"/>
                <w:color w:val="222222"/>
                <w:sz w:val="20"/>
              </w:rPr>
              <w:t>35</w:t>
            </w:r>
          </w:p>
        </w:tc>
      </w:tr>
      <w:tr>
        <w:tc>
          <w:tcPr>
            <w:tcW w:type="dxa" w:w="2835"/>
          </w:tcPr>
          <w:p>
            <w:r/>
            <w:r>
              <w:rPr>
                <w:rFonts w:ascii="Calibri" w:hAnsi="Calibri" w:cs="Calibri" w:eastAsia="Calibri"/>
                <w:color w:val="222222"/>
                <w:sz w:val="20"/>
              </w:rPr>
              <w:t>Repetition</w:t>
            </w:r>
          </w:p>
        </w:tc>
        <w:tc>
          <w:tcPr>
            <w:tcW w:type="dxa" w:w="1361"/>
          </w:tcPr>
          <w:p>
            <w:r/>
            <w:r>
              <w:rPr>
                <w:rFonts w:ascii="Calibri" w:hAnsi="Calibri" w:cs="Calibri" w:eastAsia="Calibri"/>
                <w:color w:val="222222"/>
                <w:sz w:val="20"/>
              </w:rPr>
              <w:t>26</w:t>
            </w:r>
          </w:p>
        </w:tc>
        <w:tc>
          <w:tcPr>
            <w:tcW w:type="dxa" w:w="1361"/>
          </w:tcPr>
          <w:p>
            <w:r/>
            <w:r>
              <w:rPr>
                <w:rFonts w:ascii="Calibri" w:hAnsi="Calibri" w:cs="Calibri" w:eastAsia="Calibri"/>
                <w:color w:val="222222"/>
                <w:sz w:val="20"/>
              </w:rPr>
              <w:t>82</w:t>
            </w:r>
          </w:p>
        </w:tc>
        <w:tc>
          <w:tcPr>
            <w:tcW w:type="dxa" w:w="1361"/>
          </w:tcPr>
          <w:p>
            <w:r/>
            <w:r>
              <w:rPr>
                <w:rFonts w:ascii="Calibri" w:hAnsi="Calibri" w:cs="Calibri" w:eastAsia="Calibri"/>
                <w:color w:val="222222"/>
                <w:sz w:val="20"/>
              </w:rPr>
              <w:t>74</w:t>
            </w:r>
          </w:p>
        </w:tc>
      </w:tr>
      <w:tr>
        <w:tc>
          <w:tcPr>
            <w:tcW w:type="dxa" w:w="2835"/>
          </w:tcPr>
          <w:p>
            <w:r/>
            <w:r>
              <w:rPr>
                <w:rFonts w:ascii="Calibri" w:hAnsi="Calibri" w:cs="Calibri" w:eastAsia="Calibri"/>
                <w:color w:val="222222"/>
                <w:sz w:val="20"/>
              </w:rPr>
              <w:t>Duration</w:t>
            </w:r>
          </w:p>
        </w:tc>
        <w:tc>
          <w:tcPr>
            <w:tcW w:type="dxa" w:w="1361"/>
          </w:tcPr>
          <w:p>
            <w:r/>
            <w:r>
              <w:rPr>
                <w:rFonts w:ascii="Calibri" w:hAnsi="Calibri" w:cs="Calibri" w:eastAsia="Calibri"/>
                <w:color w:val="222222"/>
                <w:sz w:val="20"/>
              </w:rPr>
              <w:t>37</w:t>
            </w:r>
          </w:p>
        </w:tc>
        <w:tc>
          <w:tcPr>
            <w:tcW w:type="dxa" w:w="1361"/>
          </w:tcPr>
          <w:p>
            <w:r/>
            <w:r>
              <w:rPr>
                <w:rFonts w:ascii="Calibri" w:hAnsi="Calibri" w:cs="Calibri" w:eastAsia="Calibri"/>
                <w:color w:val="222222"/>
                <w:sz w:val="20"/>
              </w:rPr>
              <w:t>56</w:t>
            </w:r>
          </w:p>
        </w:tc>
        <w:tc>
          <w:tcPr>
            <w:tcW w:type="dxa" w:w="1361"/>
          </w:tcPr>
          <w:p>
            <w:r/>
            <w:r>
              <w:rPr>
                <w:rFonts w:ascii="Calibri" w:hAnsi="Calibri" w:cs="Calibri" w:eastAsia="Calibri"/>
                <w:color w:val="222222"/>
                <w:sz w:val="20"/>
              </w:rPr>
              <w:t>89</w:t>
            </w:r>
          </w:p>
        </w:tc>
      </w:tr>
      <w:tr>
        <w:tc>
          <w:tcPr>
            <w:tcW w:type="dxa" w:w="2835"/>
          </w:tcPr>
          <w:p>
            <w:r/>
            <w:r>
              <w:rPr>
                <w:rFonts w:ascii="Calibri" w:hAnsi="Calibri" w:cs="Calibri" w:eastAsia="Calibri"/>
                <w:color w:val="222222"/>
                <w:sz w:val="20"/>
              </w:rPr>
              <w:t>Vibration</w:t>
            </w:r>
          </w:p>
        </w:tc>
        <w:tc>
          <w:tcPr>
            <w:tcW w:type="dxa" w:w="1361"/>
          </w:tcPr>
          <w:p>
            <w:r/>
            <w:r>
              <w:rPr>
                <w:rFonts w:ascii="Calibri" w:hAnsi="Calibri" w:cs="Calibri" w:eastAsia="Calibri"/>
                <w:color w:val="222222"/>
                <w:sz w:val="20"/>
              </w:rPr>
              <w:t>67</w:t>
            </w:r>
          </w:p>
        </w:tc>
        <w:tc>
          <w:tcPr>
            <w:tcW w:type="dxa" w:w="1361"/>
          </w:tcPr>
          <w:p>
            <w:r/>
            <w:r>
              <w:rPr>
                <w:rFonts w:ascii="Calibri" w:hAnsi="Calibri" w:cs="Calibri" w:eastAsia="Calibri"/>
                <w:color w:val="222222"/>
                <w:sz w:val="20"/>
              </w:rPr>
              <w:t>68</w:t>
            </w:r>
          </w:p>
        </w:tc>
        <w:tc>
          <w:tcPr>
            <w:tcW w:type="dxa" w:w="1361"/>
          </w:tcPr>
          <w:p>
            <w:r/>
            <w:r>
              <w:rPr>
                <w:rFonts w:ascii="Calibri" w:hAnsi="Calibri" w:cs="Calibri" w:eastAsia="Calibri"/>
                <w:color w:val="222222"/>
                <w:sz w:val="20"/>
              </w:rPr>
              <w:t>47</w:t>
            </w:r>
          </w:p>
        </w:tc>
      </w:tr>
      <w:tr>
        <w:tc>
          <w:tcPr>
            <w:tcW w:type="dxa" w:w="2835"/>
          </w:tcPr>
          <w:p>
            <w:r/>
            <w:r>
              <w:rPr>
                <w:rFonts w:ascii="Calibri" w:hAnsi="Calibri" w:cs="Calibri" w:eastAsia="Calibri"/>
                <w:color w:val="222222"/>
                <w:sz w:val="20"/>
              </w:rPr>
              <w:t>Contact Stress</w:t>
            </w:r>
          </w:p>
        </w:tc>
        <w:tc>
          <w:tcPr>
            <w:tcW w:type="dxa" w:w="1361"/>
          </w:tcPr>
          <w:p>
            <w:r/>
            <w:r>
              <w:rPr>
                <w:rFonts w:ascii="Calibri" w:hAnsi="Calibri" w:cs="Calibri" w:eastAsia="Calibri"/>
                <w:color w:val="222222"/>
                <w:sz w:val="20"/>
              </w:rPr>
              <w:t>68</w:t>
            </w:r>
          </w:p>
        </w:tc>
        <w:tc>
          <w:tcPr>
            <w:tcW w:type="dxa" w:w="1361"/>
          </w:tcPr>
          <w:p>
            <w:r/>
            <w:r>
              <w:rPr>
                <w:rFonts w:ascii="Calibri" w:hAnsi="Calibri" w:cs="Calibri" w:eastAsia="Calibri"/>
                <w:color w:val="222222"/>
                <w:sz w:val="20"/>
              </w:rPr>
              <w:t>58</w:t>
            </w:r>
          </w:p>
        </w:tc>
        <w:tc>
          <w:tcPr>
            <w:tcW w:type="dxa" w:w="1361"/>
          </w:tcPr>
          <w:p>
            <w:r/>
            <w:r>
              <w:rPr>
                <w:rFonts w:ascii="Calibri" w:hAnsi="Calibri" w:cs="Calibri" w:eastAsia="Calibri"/>
                <w:color w:val="222222"/>
                <w:sz w:val="20"/>
              </w:rPr>
              <w:t>56</w:t>
            </w:r>
          </w:p>
        </w:tc>
      </w:tr>
      <w:tr>
        <w:tc>
          <w:tcPr>
            <w:tcW w:type="dxa" w:w="2835"/>
          </w:tcPr>
          <w:p>
            <w:r/>
            <w:r>
              <w:rPr>
                <w:rFonts w:ascii="Calibri" w:hAnsi="Calibri" w:cs="Calibri" w:eastAsia="Calibri"/>
                <w:color w:val="222222"/>
                <w:sz w:val="20"/>
              </w:rPr>
              <w:t>Posture</w:t>
            </w:r>
          </w:p>
        </w:tc>
        <w:tc>
          <w:tcPr>
            <w:tcW w:type="dxa" w:w="1361"/>
          </w:tcPr>
          <w:p>
            <w:r/>
            <w:r>
              <w:rPr>
                <w:rFonts w:ascii="Calibri" w:hAnsi="Calibri" w:cs="Calibri" w:eastAsia="Calibri"/>
                <w:color w:val="222222"/>
                <w:sz w:val="20"/>
              </w:rPr>
              <w:t>0</w:t>
            </w:r>
          </w:p>
        </w:tc>
        <w:tc>
          <w:tcPr>
            <w:tcW w:type="dxa" w:w="1361"/>
          </w:tcPr>
          <w:p>
            <w:r/>
            <w:r>
              <w:rPr>
                <w:rFonts w:ascii="Calibri" w:hAnsi="Calibri" w:cs="Calibri" w:eastAsia="Calibri"/>
                <w:color w:val="222222"/>
                <w:sz w:val="20"/>
              </w:rPr>
              <w:t>29</w:t>
            </w:r>
          </w:p>
        </w:tc>
        <w:tc>
          <w:tcPr>
            <w:tcW w:type="dxa" w:w="1361"/>
          </w:tcPr>
          <w:p>
            <w:r/>
            <w:r>
              <w:rPr>
                <w:rFonts w:ascii="Calibri" w:hAnsi="Calibri" w:cs="Calibri" w:eastAsia="Calibri"/>
                <w:color w:val="222222"/>
                <w:sz w:val="20"/>
              </w:rPr>
              <w:t>153</w:t>
            </w:r>
          </w:p>
        </w:tc>
      </w:tr>
    </w:tbl>
    <w:p>
      <w:pPr>
        <w:spacing w:after="160" w:before="0"/>
      </w:pPr>
      <w:r>
        <w:rPr>
          <w:rFonts w:ascii="Calibri" w:hAnsi="Calibri" w:cs="Calibri" w:eastAsia="Calibri"/>
          <w:b w:val="0"/>
          <w:i w:val="0"/>
          <w:color w:val="222222"/>
          <w:sz w:val="22"/>
        </w:rPr>
        <w:t>Posture, Duration, and Repetition are the three factors where the High band dominates. Posture is at 84 percent High (153 of 182 observations), Duration at 49 percent, Repetition at 41 percent after the binning fix.</w:t>
      </w:r>
    </w:p>
    <w:p>
      <w:pPr>
        <w:keepNext/>
        <w:spacing w:before="200" w:after="80"/>
      </w:pPr>
      <w:r>
        <w:rPr>
          <w:rFonts w:ascii="Calibri" w:hAnsi="Calibri" w:cs="Calibri" w:eastAsia="Calibri"/>
          <w:b/>
          <w:color w:val="2E86AB"/>
          <w:sz w:val="26"/>
        </w:rPr>
        <w:t>Stage-2 model performance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814"/>
            <w:shd w:fill="1F3B73"/>
          </w:tcPr>
          <w:p>
            <w:r/>
            <w:r>
              <w:rPr>
                <w:rFonts w:ascii="Calibri" w:hAnsi="Calibri" w:cs="Calibri" w:eastAsia="Calibri"/>
                <w:b/>
                <w:color w:val="FFFFFF"/>
                <w:sz w:val="20"/>
              </w:rPr>
              <w:t>Factor</w:t>
            </w:r>
          </w:p>
        </w:tc>
        <w:tc>
          <w:tcPr>
            <w:tcW w:type="dxa" w:w="2268"/>
            <w:shd w:fill="1F3B73"/>
          </w:tcPr>
          <w:p>
            <w:r/>
            <w:r>
              <w:rPr>
                <w:rFonts w:ascii="Calibri" w:hAnsi="Calibri" w:cs="Calibri" w:eastAsia="Calibri"/>
                <w:b/>
                <w:color w:val="FFFFFF"/>
                <w:sz w:val="20"/>
              </w:rPr>
              <w:t>Best model</w:t>
            </w:r>
          </w:p>
        </w:tc>
        <w:tc>
          <w:tcPr>
            <w:tcW w:type="dxa" w:w="1361"/>
            <w:shd w:fill="1F3B73"/>
          </w:tcPr>
          <w:p>
            <w:r/>
            <w:r>
              <w:rPr>
                <w:rFonts w:ascii="Calibri" w:hAnsi="Calibri" w:cs="Calibri" w:eastAsia="Calibri"/>
                <w:b/>
                <w:color w:val="FFFFFF"/>
                <w:sz w:val="20"/>
              </w:rPr>
              <w:t>CV accuracy</w:t>
            </w:r>
          </w:p>
        </w:tc>
        <w:tc>
          <w:tcPr>
            <w:tcW w:type="dxa" w:w="1247"/>
            <w:shd w:fill="1F3B73"/>
          </w:tcPr>
          <w:p>
            <w:r/>
            <w:r>
              <w:rPr>
                <w:rFonts w:ascii="Calibri" w:hAnsi="Calibri" w:cs="Calibri" w:eastAsia="Calibri"/>
                <w:b/>
                <w:color w:val="FFFFFF"/>
                <w:sz w:val="20"/>
              </w:rPr>
              <w:t>F1 macro</w:t>
            </w:r>
          </w:p>
        </w:tc>
        <w:tc>
          <w:tcPr>
            <w:tcW w:type="dxa" w:w="1247"/>
            <w:shd w:fill="1F3B73"/>
          </w:tcPr>
          <w:p>
            <w:r/>
            <w:r>
              <w:rPr>
                <w:rFonts w:ascii="Calibri" w:hAnsi="Calibri" w:cs="Calibri" w:eastAsia="Calibri"/>
                <w:b/>
                <w:color w:val="FFFFFF"/>
                <w:sz w:val="20"/>
              </w:rPr>
              <w:t>Macro AUC</w:t>
            </w:r>
          </w:p>
        </w:tc>
        <w:tc>
          <w:tcPr>
            <w:tcW w:type="dxa" w:w="1134"/>
            <w:shd w:fill="1F3B73"/>
          </w:tcPr>
          <w:p>
            <w:r/>
            <w:r>
              <w:rPr>
                <w:rFonts w:ascii="Calibri" w:hAnsi="Calibri" w:cs="Calibri" w:eastAsia="Calibri"/>
                <w:b/>
                <w:color w:val="FFFFFF"/>
                <w:sz w:val="20"/>
              </w:rPr>
              <w:t>Features</w:t>
            </w:r>
          </w:p>
        </w:tc>
      </w:tr>
      <w:tr>
        <w:tc>
          <w:tcPr>
            <w:tcW w:type="dxa" w:w="1814"/>
          </w:tcPr>
          <w:p>
            <w:r/>
            <w:r>
              <w:rPr>
                <w:rFonts w:ascii="Calibri" w:hAnsi="Calibri" w:cs="Calibri" w:eastAsia="Calibri"/>
                <w:color w:val="222222"/>
                <w:sz w:val="20"/>
              </w:rPr>
              <w:t>Force</w:t>
            </w:r>
          </w:p>
        </w:tc>
        <w:tc>
          <w:tcPr>
            <w:tcW w:type="dxa" w:w="2268"/>
          </w:tcPr>
          <w:p>
            <w:r/>
            <w:r>
              <w:rPr>
                <w:rFonts w:ascii="Calibri" w:hAnsi="Calibri" w:cs="Calibri" w:eastAsia="Calibri"/>
                <w:color w:val="222222"/>
                <w:sz w:val="20"/>
              </w:rPr>
              <w:t>HistGradientBoosting</w:t>
            </w:r>
          </w:p>
        </w:tc>
        <w:tc>
          <w:tcPr>
            <w:tcW w:type="dxa" w:w="1361"/>
          </w:tcPr>
          <w:p>
            <w:r/>
            <w:r>
              <w:rPr>
                <w:rFonts w:ascii="Calibri" w:hAnsi="Calibri" w:cs="Calibri" w:eastAsia="Calibri"/>
                <w:color w:val="222222"/>
                <w:sz w:val="20"/>
              </w:rPr>
              <w:t>62%</w:t>
            </w:r>
          </w:p>
        </w:tc>
        <w:tc>
          <w:tcPr>
            <w:tcW w:type="dxa" w:w="1247"/>
          </w:tcPr>
          <w:p>
            <w:r/>
            <w:r>
              <w:rPr>
                <w:rFonts w:ascii="Calibri" w:hAnsi="Calibri" w:cs="Calibri" w:eastAsia="Calibri"/>
                <w:color w:val="222222"/>
                <w:sz w:val="20"/>
              </w:rPr>
              <w:t>57%</w:t>
            </w:r>
          </w:p>
        </w:tc>
        <w:tc>
          <w:tcPr>
            <w:tcW w:type="dxa" w:w="1247"/>
          </w:tcPr>
          <w:p>
            <w:r/>
            <w:r>
              <w:rPr>
                <w:rFonts w:ascii="Calibri" w:hAnsi="Calibri" w:cs="Calibri" w:eastAsia="Calibri"/>
                <w:color w:val="222222"/>
                <w:sz w:val="20"/>
              </w:rPr>
              <w:t>71%</w:t>
            </w:r>
          </w:p>
        </w:tc>
        <w:tc>
          <w:tcPr>
            <w:tcW w:type="dxa" w:w="1134"/>
          </w:tcPr>
          <w:p>
            <w:r/>
            <w:r>
              <w:rPr>
                <w:rFonts w:ascii="Calibri" w:hAnsi="Calibri" w:cs="Calibri" w:eastAsia="Calibri"/>
                <w:color w:val="222222"/>
                <w:sz w:val="20"/>
              </w:rPr>
              <w:t>42</w:t>
            </w:r>
          </w:p>
        </w:tc>
      </w:tr>
      <w:tr>
        <w:tc>
          <w:tcPr>
            <w:tcW w:type="dxa" w:w="1814"/>
          </w:tcPr>
          <w:p>
            <w:r/>
            <w:r>
              <w:rPr>
                <w:rFonts w:ascii="Calibri" w:hAnsi="Calibri" w:cs="Calibri" w:eastAsia="Calibri"/>
                <w:color w:val="222222"/>
                <w:sz w:val="20"/>
              </w:rPr>
              <w:t>Repetition</w:t>
            </w:r>
          </w:p>
        </w:tc>
        <w:tc>
          <w:tcPr>
            <w:tcW w:type="dxa" w:w="2268"/>
          </w:tcPr>
          <w:p>
            <w:r/>
            <w:r>
              <w:rPr>
                <w:rFonts w:ascii="Calibri" w:hAnsi="Calibri" w:cs="Calibri" w:eastAsia="Calibri"/>
                <w:color w:val="222222"/>
                <w:sz w:val="20"/>
              </w:rPr>
              <w:t>RandomForest</w:t>
            </w:r>
          </w:p>
        </w:tc>
        <w:tc>
          <w:tcPr>
            <w:tcW w:type="dxa" w:w="1361"/>
          </w:tcPr>
          <w:p>
            <w:r/>
            <w:r>
              <w:rPr>
                <w:rFonts w:ascii="Calibri" w:hAnsi="Calibri" w:cs="Calibri" w:eastAsia="Calibri"/>
                <w:color w:val="222222"/>
                <w:sz w:val="20"/>
              </w:rPr>
              <w:t>62%</w:t>
            </w:r>
          </w:p>
        </w:tc>
        <w:tc>
          <w:tcPr>
            <w:tcW w:type="dxa" w:w="1247"/>
          </w:tcPr>
          <w:p>
            <w:r/>
            <w:r>
              <w:rPr>
                <w:rFonts w:ascii="Calibri" w:hAnsi="Calibri" w:cs="Calibri" w:eastAsia="Calibri"/>
                <w:color w:val="222222"/>
                <w:sz w:val="20"/>
              </w:rPr>
              <w:t>57%</w:t>
            </w:r>
          </w:p>
        </w:tc>
        <w:tc>
          <w:tcPr>
            <w:tcW w:type="dxa" w:w="1247"/>
          </w:tcPr>
          <w:p>
            <w:r/>
            <w:r>
              <w:rPr>
                <w:rFonts w:ascii="Calibri" w:hAnsi="Calibri" w:cs="Calibri" w:eastAsia="Calibri"/>
                <w:color w:val="222222"/>
                <w:sz w:val="20"/>
              </w:rPr>
              <w:t>73%</w:t>
            </w:r>
          </w:p>
        </w:tc>
        <w:tc>
          <w:tcPr>
            <w:tcW w:type="dxa" w:w="1134"/>
          </w:tcPr>
          <w:p>
            <w:r/>
            <w:r>
              <w:rPr>
                <w:rFonts w:ascii="Calibri" w:hAnsi="Calibri" w:cs="Calibri" w:eastAsia="Calibri"/>
                <w:color w:val="222222"/>
                <w:sz w:val="20"/>
              </w:rPr>
              <w:t>41</w:t>
            </w:r>
          </w:p>
        </w:tc>
      </w:tr>
      <w:tr>
        <w:tc>
          <w:tcPr>
            <w:tcW w:type="dxa" w:w="1814"/>
          </w:tcPr>
          <w:p>
            <w:r/>
            <w:r>
              <w:rPr>
                <w:rFonts w:ascii="Calibri" w:hAnsi="Calibri" w:cs="Calibri" w:eastAsia="Calibri"/>
                <w:color w:val="222222"/>
                <w:sz w:val="20"/>
              </w:rPr>
              <w:t>Duration</w:t>
            </w:r>
          </w:p>
        </w:tc>
        <w:tc>
          <w:tcPr>
            <w:tcW w:type="dxa" w:w="2268"/>
          </w:tcPr>
          <w:p>
            <w:r/>
            <w:r>
              <w:rPr>
                <w:rFonts w:ascii="Calibri" w:hAnsi="Calibri" w:cs="Calibri" w:eastAsia="Calibri"/>
                <w:color w:val="222222"/>
                <w:sz w:val="20"/>
              </w:rPr>
              <w:t>RandomForest</w:t>
            </w:r>
          </w:p>
        </w:tc>
        <w:tc>
          <w:tcPr>
            <w:tcW w:type="dxa" w:w="1361"/>
          </w:tcPr>
          <w:p>
            <w:r/>
            <w:r>
              <w:rPr>
                <w:rFonts w:ascii="Calibri" w:hAnsi="Calibri" w:cs="Calibri" w:eastAsia="Calibri"/>
                <w:color w:val="222222"/>
                <w:sz w:val="20"/>
              </w:rPr>
              <w:t>61%</w:t>
            </w:r>
          </w:p>
        </w:tc>
        <w:tc>
          <w:tcPr>
            <w:tcW w:type="dxa" w:w="1247"/>
          </w:tcPr>
          <w:p>
            <w:r/>
            <w:r>
              <w:rPr>
                <w:rFonts w:ascii="Calibri" w:hAnsi="Calibri" w:cs="Calibri" w:eastAsia="Calibri"/>
                <w:color w:val="222222"/>
                <w:sz w:val="20"/>
              </w:rPr>
              <w:t>58%</w:t>
            </w:r>
          </w:p>
        </w:tc>
        <w:tc>
          <w:tcPr>
            <w:tcW w:type="dxa" w:w="1247"/>
          </w:tcPr>
          <w:p>
            <w:r/>
            <w:r>
              <w:rPr>
                <w:rFonts w:ascii="Calibri" w:hAnsi="Calibri" w:cs="Calibri" w:eastAsia="Calibri"/>
                <w:color w:val="222222"/>
                <w:sz w:val="20"/>
              </w:rPr>
              <w:t>76%</w:t>
            </w:r>
          </w:p>
        </w:tc>
        <w:tc>
          <w:tcPr>
            <w:tcW w:type="dxa" w:w="1134"/>
          </w:tcPr>
          <w:p>
            <w:r/>
            <w:r>
              <w:rPr>
                <w:rFonts w:ascii="Calibri" w:hAnsi="Calibri" w:cs="Calibri" w:eastAsia="Calibri"/>
                <w:color w:val="222222"/>
                <w:sz w:val="20"/>
              </w:rPr>
              <w:t>42</w:t>
            </w:r>
          </w:p>
        </w:tc>
      </w:tr>
      <w:tr>
        <w:tc>
          <w:tcPr>
            <w:tcW w:type="dxa" w:w="1814"/>
          </w:tcPr>
          <w:p>
            <w:r/>
            <w:r>
              <w:rPr>
                <w:rFonts w:ascii="Calibri" w:hAnsi="Calibri" w:cs="Calibri" w:eastAsia="Calibri"/>
                <w:color w:val="222222"/>
                <w:sz w:val="20"/>
              </w:rPr>
              <w:t>Vibration</w:t>
            </w:r>
          </w:p>
        </w:tc>
        <w:tc>
          <w:tcPr>
            <w:tcW w:type="dxa" w:w="2268"/>
          </w:tcPr>
          <w:p>
            <w:r/>
            <w:r>
              <w:rPr>
                <w:rFonts w:ascii="Calibri" w:hAnsi="Calibri" w:cs="Calibri" w:eastAsia="Calibri"/>
                <w:color w:val="222222"/>
                <w:sz w:val="20"/>
              </w:rPr>
              <w:t>ExtraTrees</w:t>
            </w:r>
          </w:p>
        </w:tc>
        <w:tc>
          <w:tcPr>
            <w:tcW w:type="dxa" w:w="1361"/>
          </w:tcPr>
          <w:p>
            <w:r/>
            <w:r>
              <w:rPr>
                <w:rFonts w:ascii="Calibri" w:hAnsi="Calibri" w:cs="Calibri" w:eastAsia="Calibri"/>
                <w:color w:val="222222"/>
                <w:sz w:val="20"/>
              </w:rPr>
              <w:t>58%</w:t>
            </w:r>
          </w:p>
        </w:tc>
        <w:tc>
          <w:tcPr>
            <w:tcW w:type="dxa" w:w="1247"/>
          </w:tcPr>
          <w:p>
            <w:r/>
            <w:r>
              <w:rPr>
                <w:rFonts w:ascii="Calibri" w:hAnsi="Calibri" w:cs="Calibri" w:eastAsia="Calibri"/>
                <w:color w:val="222222"/>
                <w:sz w:val="20"/>
              </w:rPr>
              <w:t>57%</w:t>
            </w:r>
          </w:p>
        </w:tc>
        <w:tc>
          <w:tcPr>
            <w:tcW w:type="dxa" w:w="1247"/>
          </w:tcPr>
          <w:p>
            <w:r/>
            <w:r>
              <w:rPr>
                <w:rFonts w:ascii="Calibri" w:hAnsi="Calibri" w:cs="Calibri" w:eastAsia="Calibri"/>
                <w:color w:val="222222"/>
                <w:sz w:val="20"/>
              </w:rPr>
              <w:t>72%</w:t>
            </w:r>
          </w:p>
        </w:tc>
        <w:tc>
          <w:tcPr>
            <w:tcW w:type="dxa" w:w="1134"/>
          </w:tcPr>
          <w:p>
            <w:r/>
            <w:r>
              <w:rPr>
                <w:rFonts w:ascii="Calibri" w:hAnsi="Calibri" w:cs="Calibri" w:eastAsia="Calibri"/>
                <w:color w:val="222222"/>
                <w:sz w:val="20"/>
              </w:rPr>
              <w:t>41</w:t>
            </w:r>
          </w:p>
        </w:tc>
      </w:tr>
      <w:tr>
        <w:tc>
          <w:tcPr>
            <w:tcW w:type="dxa" w:w="1814"/>
          </w:tcPr>
          <w:p>
            <w:r/>
            <w:r>
              <w:rPr>
                <w:rFonts w:ascii="Calibri" w:hAnsi="Calibri" w:cs="Calibri" w:eastAsia="Calibri"/>
                <w:color w:val="222222"/>
                <w:sz w:val="20"/>
              </w:rPr>
              <w:t>Contact Stress</w:t>
            </w:r>
          </w:p>
        </w:tc>
        <w:tc>
          <w:tcPr>
            <w:tcW w:type="dxa" w:w="2268"/>
          </w:tcPr>
          <w:p>
            <w:r/>
            <w:r>
              <w:rPr>
                <w:rFonts w:ascii="Calibri" w:hAnsi="Calibri" w:cs="Calibri" w:eastAsia="Calibri"/>
                <w:color w:val="222222"/>
                <w:sz w:val="20"/>
              </w:rPr>
              <w:t>RandomForest</w:t>
            </w:r>
          </w:p>
        </w:tc>
        <w:tc>
          <w:tcPr>
            <w:tcW w:type="dxa" w:w="1361"/>
          </w:tcPr>
          <w:p>
            <w:r/>
            <w:r>
              <w:rPr>
                <w:rFonts w:ascii="Calibri" w:hAnsi="Calibri" w:cs="Calibri" w:eastAsia="Calibri"/>
                <w:color w:val="222222"/>
                <w:sz w:val="20"/>
              </w:rPr>
              <w:t>60%</w:t>
            </w:r>
          </w:p>
        </w:tc>
        <w:tc>
          <w:tcPr>
            <w:tcW w:type="dxa" w:w="1247"/>
          </w:tcPr>
          <w:p>
            <w:r/>
            <w:r>
              <w:rPr>
                <w:rFonts w:ascii="Calibri" w:hAnsi="Calibri" w:cs="Calibri" w:eastAsia="Calibri"/>
                <w:color w:val="222222"/>
                <w:sz w:val="20"/>
              </w:rPr>
              <w:t>59%</w:t>
            </w:r>
          </w:p>
        </w:tc>
        <w:tc>
          <w:tcPr>
            <w:tcW w:type="dxa" w:w="1247"/>
          </w:tcPr>
          <w:p>
            <w:r/>
            <w:r>
              <w:rPr>
                <w:rFonts w:ascii="Calibri" w:hAnsi="Calibri" w:cs="Calibri" w:eastAsia="Calibri"/>
                <w:color w:val="222222"/>
                <w:sz w:val="20"/>
              </w:rPr>
              <w:t>74%</w:t>
            </w:r>
          </w:p>
        </w:tc>
        <w:tc>
          <w:tcPr>
            <w:tcW w:type="dxa" w:w="1134"/>
          </w:tcPr>
          <w:p>
            <w:r/>
            <w:r>
              <w:rPr>
                <w:rFonts w:ascii="Calibri" w:hAnsi="Calibri" w:cs="Calibri" w:eastAsia="Calibri"/>
                <w:color w:val="222222"/>
                <w:sz w:val="20"/>
              </w:rPr>
              <w:t>42</w:t>
            </w:r>
          </w:p>
        </w:tc>
      </w:tr>
      <w:tr>
        <w:tc>
          <w:tcPr>
            <w:tcW w:type="dxa" w:w="1814"/>
          </w:tcPr>
          <w:p>
            <w:r/>
            <w:r>
              <w:rPr>
                <w:rFonts w:ascii="Calibri" w:hAnsi="Calibri" w:cs="Calibri" w:eastAsia="Calibri"/>
                <w:color w:val="222222"/>
                <w:sz w:val="20"/>
              </w:rPr>
              <w:t>Posture</w:t>
            </w:r>
          </w:p>
        </w:tc>
        <w:tc>
          <w:tcPr>
            <w:tcW w:type="dxa" w:w="2268"/>
          </w:tcPr>
          <w:p>
            <w:r/>
            <w:r>
              <w:rPr>
                <w:rFonts w:ascii="Calibri" w:hAnsi="Calibri" w:cs="Calibri" w:eastAsia="Calibri"/>
                <w:color w:val="222222"/>
                <w:sz w:val="20"/>
              </w:rPr>
              <w:t>HistGradientBoosting</w:t>
            </w:r>
          </w:p>
        </w:tc>
        <w:tc>
          <w:tcPr>
            <w:tcW w:type="dxa" w:w="1361"/>
          </w:tcPr>
          <w:p>
            <w:r/>
            <w:r>
              <w:rPr>
                <w:rFonts w:ascii="Calibri" w:hAnsi="Calibri" w:cs="Calibri" w:eastAsia="Calibri"/>
                <w:color w:val="222222"/>
                <w:sz w:val="20"/>
              </w:rPr>
              <w:t>97%</w:t>
            </w:r>
          </w:p>
        </w:tc>
        <w:tc>
          <w:tcPr>
            <w:tcW w:type="dxa" w:w="1247"/>
          </w:tcPr>
          <w:p>
            <w:r/>
            <w:r>
              <w:rPr>
                <w:rFonts w:ascii="Calibri" w:hAnsi="Calibri" w:cs="Calibri" w:eastAsia="Calibri"/>
                <w:color w:val="222222"/>
                <w:sz w:val="20"/>
              </w:rPr>
              <w:t>95%</w:t>
            </w:r>
          </w:p>
        </w:tc>
        <w:tc>
          <w:tcPr>
            <w:tcW w:type="dxa" w:w="1247"/>
          </w:tcPr>
          <w:p>
            <w:r/>
            <w:r>
              <w:rPr>
                <w:rFonts w:ascii="Calibri" w:hAnsi="Calibri" w:cs="Calibri" w:eastAsia="Calibri"/>
                <w:color w:val="222222"/>
                <w:sz w:val="20"/>
              </w:rPr>
              <w:t>98%</w:t>
            </w:r>
          </w:p>
        </w:tc>
        <w:tc>
          <w:tcPr>
            <w:tcW w:type="dxa" w:w="1134"/>
          </w:tcPr>
          <w:p>
            <w:r/>
            <w:r>
              <w:rPr>
                <w:rFonts w:ascii="Calibri" w:hAnsi="Calibri" w:cs="Calibri" w:eastAsia="Calibri"/>
                <w:color w:val="222222"/>
                <w:sz w:val="20"/>
              </w:rPr>
              <w:t>63</w:t>
            </w:r>
          </w:p>
        </w:tc>
      </w:tr>
    </w:tbl>
    <w:p>
      <w:pPr>
        <w:spacing w:after="160" w:before="0"/>
      </w:pPr>
      <w:r>
        <w:rPr>
          <w:rFonts w:ascii="Calibri" w:hAnsi="Calibri" w:cs="Calibri" w:eastAsia="Calibri"/>
          <w:b w:val="0"/>
          <w:i w:val="0"/>
          <w:color w:val="222222"/>
          <w:sz w:val="22"/>
        </w:rPr>
        <w:t>The five survey-derived factors land between 58 and 62 percent accuracy with macro AUC in the 71 to 76 percent range. Posture reaches 97 percent accuracy and 98 percent AUC because it is the only model that receives real observation inputs (11 RULA components and 8 QEC scores) on top of the survey features.</w:t>
      </w:r>
    </w:p>
    <w:p>
      <w:pPr>
        <w:keepNext/>
        <w:spacing w:before="200" w:after="80"/>
      </w:pPr>
      <w:r>
        <w:rPr>
          <w:rFonts w:ascii="Calibri" w:hAnsi="Calibri" w:cs="Calibri" w:eastAsia="Calibri"/>
          <w:b/>
          <w:color w:val="2E86AB"/>
          <w:sz w:val="26"/>
        </w:rPr>
        <w:t>Statistical predictors of discomfort</w:t>
      </w:r>
    </w:p>
    <w:p>
      <w:pPr>
        <w:spacing w:after="160" w:before="0"/>
      </w:pPr>
      <w:r>
        <w:rPr>
          <w:rFonts w:ascii="Calibri" w:hAnsi="Calibri" w:cs="Calibri" w:eastAsia="Calibri"/>
          <w:b w:val="0"/>
          <w:i w:val="0"/>
          <w:color w:val="222222"/>
          <w:sz w:val="22"/>
        </w:rPr>
        <w:t>Phase 5 fits a multivariable logistic regression with discomfort (any NMQ 12-month pain) as the outcome.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 The chi-square test in the same phase finds that Posture and Force are the only two risk factors with a significant association with discomfort in this sample.</w:t>
      </w:r>
    </w:p>
    <w:p>
      <w:pPr>
        <w:keepNext/>
        <w:spacing w:before="320" w:after="80"/>
      </w:pPr>
      <w:r>
        <w:rPr>
          <w:rFonts w:ascii="Calibri" w:hAnsi="Calibri" w:cs="Calibri" w:eastAsia="Calibri"/>
          <w:b/>
          <w:color w:val="1F3B73"/>
          <w:sz w:val="32"/>
        </w:rPr>
        <w:t>The web app</w:t>
      </w:r>
    </w:p>
    <w:p>
      <w:pPr>
        <w:spacing w:after="160" w:before="0"/>
      </w:pPr>
      <w:r>
        <w:rPr>
          <w:rFonts w:ascii="Calibri" w:hAnsi="Calibri" w:cs="Calibri" w:eastAsia="Calibri"/>
          <w:b w:val="0"/>
          <w:i w:val="0"/>
          <w:color w:val="222222"/>
          <w:sz w:val="22"/>
        </w:rPr>
        <w:t>Start it with:</w:t>
      </w:r>
    </w:p>
    <w:p>
      <w:pPr>
        <w:spacing w:before="40" w:after="160"/>
        <w:ind w:left="340"/>
      </w:pPr>
      <w:r>
        <w:rPr>
          <w:rFonts w:ascii="Consolas" w:hAnsi="Consolas" w:cs="Consolas" w:eastAsia="Consolas"/>
          <w:color w:val="222222"/>
          <w:sz w:val="20"/>
        </w:rPr>
        <w:t>streamlit run app/streamlit_app.py</w:t>
      </w:r>
    </w:p>
    <w:p>
      <w:pPr>
        <w:spacing w:after="160" w:before="0"/>
      </w:pPr>
      <w:r>
        <w:rPr>
          <w:rFonts w:ascii="Calibri" w:hAnsi="Calibri" w:cs="Calibri" w:eastAsia="Calibri"/>
          <w:b w:val="0"/>
          <w:i w:val="0"/>
          <w:color w:val="222222"/>
          <w:sz w:val="22"/>
        </w:rPr>
        <w:t>The form has six sections that together cover every column from the CSV and the xlsx. Section 1 is demographics and work pattern, Q1 to Q17. Section 2 is the NMQ 12-month items, the 7-day discomfort items, and the Q20 to Q24 follow-ups. Section 3 is the six NASA-TLX sliders (Q28 was rephrased from 'How satisfied' to 'How dissatisfied' so all six sliders run in the same direction). Section 4 is the six Borg CR10 sliders. Section 5 is the 11 RULA components with help text per item. Section 6 is the 8 QEC scores as number inputs with min/max set to the observed ranges in the training data.</w:t>
      </w:r>
    </w:p>
    <w:p>
      <w:pPr>
        <w:spacing w:after="160" w:before="0"/>
      </w:pPr>
      <w:r>
        <w:rPr>
          <w:rFonts w:ascii="Calibri" w:hAnsi="Calibri" w:cs="Calibri" w:eastAsia="Calibri"/>
          <w:b w:val="0"/>
          <w:i w:val="0"/>
          <w:color w:val="222222"/>
          <w:sz w:val="22"/>
        </w:rPr>
        <w:t>encode_rider() turns the form values into the feature vector each model expects (44 survey features plus 5 interactions plus, for Posture, 11 RULA + 8 QEC). predict_risks() loops over the 6 saved bundles and returns a dict of factor to Low/Medium/High. Output is a colour-coded table with a summary banner; an expandable JSON view shows the exact feature values that were fed in, which is useful for showing a mentor that every form field actually does end up in the prediction.</w:t>
      </w:r>
    </w:p>
    <w:p>
      <w:pPr>
        <w:spacing w:after="160" w:before="0"/>
      </w:pPr>
      <w:r>
        <w:rPr>
          <w:rFonts w:ascii="Calibri" w:hAnsi="Calibri" w:cs="Calibri" w:eastAsia="Calibri"/>
          <w:b w:val="0"/>
          <w:i w:val="0"/>
          <w:color w:val="222222"/>
          <w:sz w:val="22"/>
        </w:rPr>
        <w:t>The same prediction is also available from the command line:</w:t>
      </w:r>
    </w:p>
    <w:p>
      <w:pPr>
        <w:spacing w:before="40" w:after="160"/>
        <w:ind w:left="340"/>
      </w:pPr>
      <w:r>
        <w:rPr>
          <w:rFonts w:ascii="Consolas" w:hAnsi="Consolas" w:cs="Consolas" w:eastAsia="Consolas"/>
          <w:color w:val="222222"/>
          <w:sz w:val="20"/>
        </w:rPr>
        <w:t>python src/predict.py --json data/example_rider.json</w:t>
      </w:r>
    </w:p>
    <w:p>
      <w:pPr>
        <w:keepNext/>
        <w:spacing w:before="320" w:after="80"/>
      </w:pPr>
      <w:r>
        <w:rPr>
          <w:rFonts w:ascii="Calibri" w:hAnsi="Calibri" w:cs="Calibri" w:eastAsia="Calibri"/>
          <w:b/>
          <w:color w:val="1F3B73"/>
          <w:sz w:val="32"/>
        </w:rPr>
        <w:t>Limitations</w:t>
      </w:r>
    </w:p>
    <w:p>
      <w:pPr>
        <w:spacing w:after="160" w:before="0"/>
      </w:pPr>
      <w:r>
        <w:rPr>
          <w:rFonts w:ascii="Calibri" w:hAnsi="Calibri" w:cs="Calibri" w:eastAsia="Calibri"/>
          <w:b w:val="0"/>
          <w:i w:val="0"/>
          <w:color w:val="222222"/>
          <w:sz w:val="22"/>
        </w:rPr>
        <w:t>These should be stated up front rather than buried at the end.</w:t>
      </w:r>
    </w:p>
    <w:p>
      <w:pPr>
        <w:keepNext/>
        <w:spacing w:before="200" w:after="80"/>
      </w:pPr>
      <w:r>
        <w:rPr>
          <w:rFonts w:ascii="Calibri" w:hAnsi="Calibri" w:cs="Calibri" w:eastAsia="Calibri"/>
          <w:b/>
          <w:color w:val="2E86AB"/>
          <w:sz w:val="26"/>
        </w:rPr>
        <w:t>Self-report bias</w:t>
      </w:r>
    </w:p>
    <w:p>
      <w:pPr>
        <w:spacing w:after="160" w:before="0"/>
      </w:pPr>
      <w:r>
        <w:rPr>
          <w:rFonts w:ascii="Calibri" w:hAnsi="Calibri" w:cs="Calibri" w:eastAsia="Calibri"/>
          <w:b w:val="0"/>
          <w:i w:val="0"/>
          <w:color w:val="222222"/>
          <w:sz w:val="22"/>
        </w:rPr>
        <w:t>Most of the model inputs come from the rider's own answers (NMQ pain, NASA-TLX workload, Borg fatigue, the demographic items). A rider in a bad mood reports more pain than the same rider would on a good day. Nothing in the pipeline can correct for this.</w:t>
      </w:r>
    </w:p>
    <w:p>
      <w:pPr>
        <w:keepNext/>
        <w:spacing w:before="200" w:after="80"/>
      </w:pPr>
      <w:r>
        <w:rPr>
          <w:rFonts w:ascii="Calibri" w:hAnsi="Calibri" w:cs="Calibri" w:eastAsia="Calibri"/>
          <w:b/>
          <w:color w:val="2E86AB"/>
          <w:sz w:val="26"/>
        </w:rPr>
        <w:t>The Posture link is approximate</w:t>
      </w:r>
    </w:p>
    <w:p>
      <w:pPr>
        <w:spacing w:after="160" w:before="0"/>
      </w:pPr>
      <w:r>
        <w:rPr>
          <w:rFonts w:ascii="Calibri" w:hAnsi="Calibri" w:cs="Calibri" w:eastAsia="Calibri"/>
          <w:b w:val="0"/>
          <w:i w:val="0"/>
          <w:color w:val="222222"/>
          <w:sz w:val="22"/>
        </w:rPr>
        <w:t>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keepNext/>
        <w:spacing w:before="200" w:after="80"/>
      </w:pPr>
      <w:r>
        <w:rPr>
          <w:rFonts w:ascii="Calibri" w:hAnsi="Calibri" w:cs="Calibri" w:eastAsia="Calibri"/>
          <w:b/>
          <w:color w:val="2E86AB"/>
          <w:sz w:val="26"/>
        </w:rPr>
        <w:t>Repetition binning fix</w:t>
      </w:r>
    </w:p>
    <w:p>
      <w:pPr>
        <w:spacing w:after="160" w:before="0"/>
      </w:pPr>
      <w:r>
        <w:rPr>
          <w:rFonts w:ascii="Calibri" w:hAnsi="Calibri" w:cs="Calibri" w:eastAsia="Calibri"/>
          <w:b w:val="0"/>
          <w:i w:val="0"/>
          <w:color w:val="222222"/>
          <w:sz w:val="22"/>
        </w:rPr>
        <w:t>The earlier Phase 3 used pandas qcut(q=3) on deliveries_per_hour. The 75th percentile fell exactly on 3.889 dph (= 35 deliveries / 9 hours), which is the worst real combination in the sample. 55 of 182 riders tied at that value and were all binned into Medium because qcut is right-inclusive at the upper edge. The Stage-2 model could never predict High for the worst real rider, no matter what features it was given. The fix replaces qcut with fixed cuts at 2.5 and 3.75 so the worst case ends up in High where it should. Stage-1 High count went from 19 to 74. Stage-2 accuracy went from 74 percent to 62 percent. The drop is the honest trade: the model is now learning a real High class of 74 examples instead of memorising a 19-example minority.</w:t>
      </w:r>
    </w:p>
    <w:p>
      <w:pPr>
        <w:keepNext/>
        <w:spacing w:before="200" w:after="80"/>
      </w:pPr>
      <w:r>
        <w:rPr>
          <w:rFonts w:ascii="Calibri" w:hAnsi="Calibri" w:cs="Calibri" w:eastAsia="Calibri"/>
          <w:b/>
          <w:color w:val="2E86AB"/>
          <w:sz w:val="26"/>
        </w:rPr>
        <w:t>Duration leakage fix</w:t>
      </w:r>
    </w:p>
    <w:p>
      <w:pPr>
        <w:spacing w:after="160" w:before="0"/>
      </w:pPr>
      <w:r>
        <w:rPr>
          <w:rFonts w:ascii="Calibri" w:hAnsi="Calibri" w:cs="Calibri" w:eastAsia="Calibri"/>
          <w:b w:val="0"/>
          <w:i w:val="0"/>
          <w:color w:val="222222"/>
          <w:sz w:val="22"/>
        </w:rPr>
        <w:t>An earlier Phase 6 run reported 100 percent CV accuracy on Duration. After investigating we found that vibration_index (= vehicle_rank x work_hours_num) was still in the feature pool, so the trees were recovering work_hours_num from it. We added vibration_index to the Duration exclusion list and capped max_depth + min_samples_leaf. Duration settled at 61 percent accuracy and 76 percent AUC.</w:t>
      </w:r>
    </w:p>
    <w:p>
      <w:pPr>
        <w:keepNext/>
        <w:spacing w:before="200" w:after="80"/>
      </w:pPr>
      <w:r>
        <w:rPr>
          <w:rFonts w:ascii="Calibri" w:hAnsi="Calibri" w:cs="Calibri" w:eastAsia="Calibri"/>
          <w:b/>
          <w:color w:val="2E86AB"/>
          <w:sz w:val="26"/>
        </w:rPr>
        <w:t>Cross-sectional design</w:t>
      </w:r>
    </w:p>
    <w:p>
      <w:pPr>
        <w:spacing w:after="160" w:before="0"/>
      </w:pPr>
      <w:r>
        <w:rPr>
          <w:rFonts w:ascii="Calibri" w:hAnsi="Calibri" w:cs="Calibri" w:eastAsia="Calibri"/>
          <w:b w:val="0"/>
          <w:i w:val="0"/>
          <w:color w:val="222222"/>
          <w:sz w:val="22"/>
        </w:rPr>
        <w:t>Each rider was surveyed once. The fact that older riders report more pain could mean that long delivery careers cause MSDs, or that riders who develop MSDs quit, leaving the survivors. A follow-up study would settle this.</w:t>
      </w:r>
    </w:p>
    <w:p>
      <w:pPr>
        <w:keepNext/>
        <w:spacing w:before="200" w:after="80"/>
      </w:pPr>
      <w:r>
        <w:rPr>
          <w:rFonts w:ascii="Calibri" w:hAnsi="Calibri" w:cs="Calibri" w:eastAsia="Calibri"/>
          <w:b/>
          <w:color w:val="2E86AB"/>
          <w:sz w:val="26"/>
        </w:rPr>
        <w:t>Sample size and region</w:t>
      </w:r>
    </w:p>
    <w:p>
      <w:pPr>
        <w:spacing w:after="160" w:before="0"/>
      </w:pPr>
      <w:r>
        <w:rPr>
          <w:rFonts w:ascii="Calibri" w:hAnsi="Calibri" w:cs="Calibri" w:eastAsia="Calibri"/>
          <w:b w:val="0"/>
          <w:i w:val="0"/>
          <w:color w:val="222222"/>
          <w:sz w:val="22"/>
        </w:rPr>
        <w:t>n = 182 is reasonable for descriptive statistics but small for multivariable ML; the cross-validation results have a natural wobble of around 5 percentage points. All riders came from one regional platform deployment, so the numbers may not transfer to other regions.</w:t>
      </w:r>
    </w:p>
    <w:p>
      <w:pPr>
        <w:keepNext/>
        <w:spacing w:before="200" w:after="80"/>
      </w:pPr>
      <w:r>
        <w:rPr>
          <w:rFonts w:ascii="Calibri" w:hAnsi="Calibri" w:cs="Calibri" w:eastAsia="Calibri"/>
          <w:b/>
          <w:color w:val="2E86AB"/>
          <w:sz w:val="26"/>
        </w:rPr>
        <w:t>Proxy inputs for Vibration and Repetition</w:t>
      </w:r>
    </w:p>
    <w:p>
      <w:pPr>
        <w:spacing w:after="160" w:before="0"/>
      </w:pPr>
      <w:r>
        <w:rPr>
          <w:rFonts w:ascii="Calibri" w:hAnsi="Calibri" w:cs="Calibri" w:eastAsia="Calibri"/>
          <w:b w:val="0"/>
          <w:i w:val="0"/>
          <w:color w:val="222222"/>
          <w:sz w:val="22"/>
        </w:rPr>
        <w:t>Without per-shift accelerometer data, Vibration is approximated as vehicle_rank x work_hours_num. Without per-task timing, Repetition is approximated as deliveries-per-hour. Both proxies map onto what the survey can capture but neither carries the per-event signal a wearable would.</w:t>
      </w:r>
    </w:p>
    <w:p>
      <w:pPr>
        <w:keepNext/>
        <w:spacing w:before="320" w:after="80"/>
      </w:pPr>
      <w:r>
        <w:rPr>
          <w:rFonts w:ascii="Calibri" w:hAnsi="Calibri" w:cs="Calibri" w:eastAsia="Calibri"/>
          <w:b/>
          <w:color w:val="1F3B73"/>
          <w:sz w:val="32"/>
        </w:rPr>
        <w:t>Recommendations</w:t>
      </w:r>
    </w:p>
    <w:p>
      <w:pPr>
        <w:spacing w:after="160" w:before="0"/>
      </w:pPr>
      <w:r>
        <w:rPr>
          <w:rFonts w:ascii="Calibri" w:hAnsi="Calibri" w:cs="Calibri" w:eastAsia="Calibri"/>
          <w:b w:val="0"/>
          <w:i w:val="0"/>
          <w:color w:val="222222"/>
          <w:sz w:val="22"/>
        </w:rPr>
        <w:t>Five interventions come out of the analysis, ordered by how many riders they would reach. First, cap daily hours. Roughly half the sample works more than 8 hours per day, so a shift-length cap has the biggest population reach. Second, posture training and equipment review: 84 percent of observed postures sit at RULA action level 5 or above, which usually means handle grips, helmet ergonomics, seat adjustment, or bag strap design. Third, push for storage-box carrying over handheld bags because the storage-box riders in the sample had the lowest contact stress. Fourth, age-targeted screening: discomfort climbs from 72 percent in riders under 25 to 100 percent in those 46 and above, so an annual MSD screen for the 36-plus cohort would catch problems earlier. Fifth, workload management at the platform level: smoother route batching and fewer 'rush' window pushes would reduce NASA-TLX scores and, through that channel, predicted risk.</w:t>
      </w:r>
    </w:p>
    <w:p>
      <w:pPr>
        <w:keepNext/>
        <w:spacing w:before="320" w:after="80"/>
      </w:pPr>
      <w:r>
        <w:rPr>
          <w:rFonts w:ascii="Calibri" w:hAnsi="Calibri" w:cs="Calibri" w:eastAsia="Calibri"/>
          <w:b/>
          <w:color w:val="1F3B73"/>
          <w:sz w:val="32"/>
        </w:rPr>
        <w:t>Where things live in the repository</w:t>
      </w:r>
    </w:p>
    <w:p>
      <w:pPr>
        <w:spacing w:before="40" w:after="160"/>
        <w:ind w:left="340"/>
      </w:pPr>
      <w:r>
        <w:rPr>
          <w:rFonts w:ascii="Consolas" w:hAnsi="Consolas" w:cs="Consolas" w:eastAsia="Consolas"/>
          <w:color w:val="222222"/>
          <w:sz w:val="20"/>
        </w:rPr>
        <w:t>Ergonomic_Project/</w:t>
        <w:br/>
        <w:t xml:space="preserve">  README.md</w:t>
        <w:br/>
        <w:t xml:space="preserve">  docs/</w:t>
        <w:br/>
        <w:t xml:space="preserve">    PROJECT_EXPLAINED.md / .docx   this write-up</w:t>
        <w:br/>
        <w:t xml:space="preserve">    results.md                     numbers and tables for the mentor</w:t>
        <w:br/>
        <w:t xml:space="preserve">    development_plan.md            original execution plan</w:t>
        <w:br/>
        <w:t xml:space="preserve">  data/</w:t>
        <w:br/>
        <w:t xml:space="preserve">    raw/                           delivery_rider_survey.csv, posture_data.xlsx</w:t>
        <w:br/>
        <w:t xml:space="preserve">    processed/                     cleaned.csv, model_ready.csv, risk_profile.csv</w:t>
        <w:br/>
        <w:t xml:space="preserve">    example_rider.json</w:t>
        <w:br/>
        <w:t xml:space="preserve">  notebooks/                       01..07 (the seven phases)</w:t>
        <w:br/>
        <w:t xml:space="preserve">  src/</w:t>
        <w:br/>
        <w:t xml:space="preserve">    predict.py                     command-line predictor</w:t>
        <w:br/>
        <w:t xml:space="preserve">    build_results_deck.py          builds the WITH_RESULTS PowerPoint</w:t>
        <w:br/>
        <w:t xml:space="preserve">    build_project_doc.py           builds this Word doc</w:t>
        <w:br/>
        <w:t xml:space="preserve">  app/streamlit_app.py             interactive demo</w:t>
        <w:br/>
        <w:t xml:space="preserve">  deck/                            Final.pptx and WITH_RESULTS.pptx</w:t>
        <w:br/>
        <w:t xml:space="preserve">  outputs/</w:t>
        <w:br/>
        <w:t xml:space="preserve">    figures/   all PNGs</w:t>
        <w:br/>
        <w:t xml:space="preserve">    tables/    result CSVs</w:t>
        <w:br/>
        <w:t xml:space="preserve">    models/    the six saved joblib bundles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