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food-delivery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Ergonomists have standard ways of measuring this kind of strain. RULA (Rapid Upper Limb Assessment) scores the posture of a worker's upper body. QEC (Quick Exposure Check) gives a composite of body-region and exposure scores. The Nordic Musculoskeletal Questionnaire (NMQ) records pain across 9 body areas. NASA-TLX rates mental workload. Borg CR10 records perceived physical effort on a 0 to 10 scale. Each of these gives useful information on its own. The project takes all of them together and produces a single per-rider risk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(Borg CR10 action levels, RULA Table C action levels, sample terciles, simple thresholds).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transparent)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use the Borg CR10 lifting item. Conventional Borg action levels: 0-3 Low (acceptable), 4-6 Medium (monitor), 7-10 High (intervene).</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Conventional action levels are 1-2 Low, 3-4 Medium, 5 or higher High.</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A machine-learning model cannot work directly with text answers like "25-35" or "Degree". We convert each ordered category into a number, preserving the order. For example, the age band gets a code from 0 (under 25) to 3 (46 or older), and similar codes are assigned to education, income, job duration, hours per day, days per week, deliveries per day, and rest-break duration:</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The same idea is applied to the remaining demographic and lifestyle items in Step 5b. Each category is given a numeric rank in the order that makes physical sense:</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Some bins need to be used in arithmetic later (for example, computing deliveries per hour). For those, we assign each bin a sensible midpoint value rather than just an order code. A rider in the "6-8 hours" band is treated as working 7 hours, the "11-20 deliveries" band as 15 deliveries, and so on:</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spacing w:after="160"/>
      </w:pPr>
      <w:r>
        <w:rPr>
          <w:rFonts w:ascii="Calibri" w:hAnsi="Calibri" w:cs="Calibri" w:eastAsia="Calibri"/>
          <w:sz w:val="22"/>
        </w:rPr>
        <w:t>Vehicle type and the way a rider carries packages both affect ergonomic exposure, so each is given a rank. Motorbikes vibrate more than scooters; a handheld bag stays in contact with the body more than a fitted bike-storage box:</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The survey contains 18 Yes/No items: 9 NMQ 12-month pain items, 4 seven-day discomfort items, and 5 follow-up questions. Their original column names are long (the full survey question text). Step 4b makes short-named copies of each so later code stays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sz w:val="22"/>
        </w:rPr>
        <w:t>Four single numbers summarise heavy chunks of the survey. Combining related items into one composite score makes the downstream models easier to interpret and reduces noise.</w:t>
      </w:r>
    </w:p>
    <w:p>
      <w:pPr>
        <w:spacing w:after="160"/>
      </w:pPr>
      <w:r>
        <w:rPr>
          <w:rFonts w:ascii="Calibri" w:hAnsi="Calibri" w:cs="Calibri" w:eastAsia="Calibri"/>
          <w:b/>
          <w:sz w:val="22"/>
        </w:rPr>
        <w:t>Workload score.</w:t>
      </w:r>
      <w:r>
        <w:rPr>
          <w:rFonts w:ascii="Calibri" w:hAnsi="Calibri" w:cs="Calibri" w:eastAsia="Calibri"/>
          <w:sz w:val="22"/>
        </w:rPr>
        <w:t xml:space="preserve"> The six NASA-TLX items are averaged into one overall workload measure. The satisfaction item (Q28) is reversed first, because a higher satisfaction score actually means lower mental load:</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The six Borg CR10 items are similarly averaged into a single physical-fatigue measure. No reversal is needed because all six items already point the same way (higher means harder):</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Phase 3 needs a separate force measurement (the Borg lifting/carrying item) to compute the Force risk level, so we pull that single item out as its own feature:</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Without an actual vibration sensor, we approximate exposure by multiplying the vehicle type (scooters vibrate less than motorbikes) by working hours per day:</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Sometimes the effect of two factors together is bigger than either one alone. An older rider with high workload is at extra risk on top of what age and workload would each suggest separately. We add five features that capture these combinations by multiplying the relevant inputs:</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after="160"/>
      </w:pPr>
      <w:r>
        <w:rPr>
          <w:rFonts w:ascii="Calibri" w:hAnsi="Calibri" w:cs="Calibri" w:eastAsia="Calibri"/>
          <w:sz w:val="22"/>
        </w:rPr>
        <w:t>The Phase 5 statistical analysis needs a single Yes/No outcome to compare against. We define "discomfort" as 1 if the rider reported pain in any of the 9 NMQ body areas in the last 12 months, otherwise 0:</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only used as the outcome inside the statistical models. It is not fed as an input to any of the six Stage-2 risk classifiers, because those predict the Stage-1 risk labels, not discomfort.</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xlsx file contains 182 RULA and QEC observation records, but they do not carry any rider identifier. There is no direct way to say "this observation belongs to rider 57". Phase 2 Step 8 handles this with a severity-rank merge. The idea is simple: the rider who looks the most strained based on the survey is paired with the observation that has the worst RULA score, and so on down the list.</w:t>
      </w:r>
    </w:p>
    <w:p>
      <w:pPr>
        <w:spacing w:after="160"/>
      </w:pPr>
      <w:r>
        <w:rPr>
          <w:rFonts w:ascii="Calibri" w:hAnsi="Calibri" w:cs="Calibri" w:eastAsia="Calibri"/>
          <w:sz w:val="22"/>
        </w:rPr>
        <w:t>The five steps:</w:t>
      </w:r>
    </w:p>
    <w:p>
      <w:pPr>
        <w:pStyle w:val="ListBullet"/>
        <w:spacing w:after="40"/>
      </w:pPr>
      <w:r>
        <w:rPr>
          <w:rFonts w:ascii="Calibri" w:hAnsi="Calibri" w:cs="Calibri" w:eastAsia="Calibri"/>
          <w:sz w:val="22"/>
        </w:rPr>
        <w:t>Compute an exposure-severity score for each rider. It combines</w:t>
      </w:r>
    </w:p>
    <w:p>
      <w:pPr>
        <w:spacing w:after="160"/>
      </w:pPr>
      <w:r>
        <w:rPr>
          <w:rFonts w:ascii="Calibri" w:hAnsi="Calibri" w:cs="Calibri" w:eastAsia="Calibri"/>
          <w:sz w:val="22"/>
        </w:rPr>
        <w:t>reported pain count, fatigue score, and working hours per day, each normalised to its maximum so they contribute on the same scale: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Sort riders by their severity score from most to least severe.</w:t>
      </w:r>
    </w:p>
    <w:p>
      <w:pPr>
        <w:spacing w:after="160"/>
      </w:pPr>
      <w:r>
        <w:rPr>
          <w:rFonts w:ascii="Calibri" w:hAnsi="Calibri" w:cs="Calibri" w:eastAsia="Calibri"/>
          <w:sz w:val="22"/>
        </w:rPr>
        <w:t>The most-strained rider gets rank 1, the least gets rank 182.</w:t>
      </w:r>
    </w:p>
    <w:p>
      <w:pPr>
        <w:pStyle w:val="ListBullet"/>
        <w:spacing w:after="40"/>
      </w:pPr>
      <w:r>
        <w:rPr>
          <w:rFonts w:ascii="Calibri" w:hAnsi="Calibri" w:cs="Calibri" w:eastAsia="Calibri"/>
          <w:sz w:val="22"/>
        </w:rPr>
        <w:t>Read and concatenate the posture xlsx sheets. Drop any rows that</w:t>
      </w:r>
    </w:p>
    <w:p>
      <w:pPr>
        <w:spacing w:after="160"/>
      </w:pPr>
      <w:r>
        <w:rPr>
          <w:rFonts w:ascii="Calibri" w:hAnsi="Calibri" w:cs="Calibri" w:eastAsia="Calibri"/>
          <w:sz w:val="22"/>
        </w:rPr>
        <w:t>have no RULA Table C value. Fill any blank muscle/force cells with 0, which is the standard worksheet's default for "no static or repetitive component".</w:t>
      </w:r>
    </w:p>
    <w:p>
      <w:pPr>
        <w:pStyle w:val="ListBullet"/>
        <w:spacing w:after="40"/>
      </w:pPr>
      <w:r>
        <w:rPr>
          <w:rFonts w:ascii="Calibri" w:hAnsi="Calibri" w:cs="Calibri" w:eastAsia="Calibri"/>
          <w:sz w:val="22"/>
        </w:rPr>
        <w:t>Sort the posture rows by RULA Table C from highest (worst) to</w:t>
      </w:r>
    </w:p>
    <w:p>
      <w:pPr>
        <w:spacing w:after="160"/>
      </w:pPr>
      <w:r>
        <w:rPr>
          <w:rFonts w:ascii="Calibri" w:hAnsi="Calibri" w:cs="Calibri" w:eastAsia="Calibri"/>
          <w:sz w:val="22"/>
        </w:rPr>
        <w:t>lowest (best). The worst observation gets rank 1, the mildest gets rank 182.</w:t>
      </w:r>
    </w:p>
    <w:p>
      <w:pPr>
        <w:pStyle w:val="ListBullet"/>
        <w:spacing w:after="40"/>
      </w:pPr>
      <w:r>
        <w:rPr>
          <w:rFonts w:ascii="Calibri" w:hAnsi="Calibri" w:cs="Calibri" w:eastAsia="Calibri"/>
          <w:sz w:val="22"/>
        </w:rPr>
        <w:t>Match rank 1 to rank 1, rank 2 to rank 2, and so on. Every rider</w:t>
      </w:r>
    </w:p>
    <w:p>
      <w:pPr>
        <w:spacing w:after="160"/>
      </w:pPr>
      <w:r>
        <w:rPr>
          <w:rFonts w:ascii="Calibri" w:hAnsi="Calibri" w:cs="Calibri" w:eastAsia="Calibri"/>
          <w:sz w:val="22"/>
        </w:rPr>
        <w:t>ends up paired with one posture observation.</w:t>
      </w:r>
    </w:p>
    <w:p>
      <w:pPr>
        <w:spacing w:after="160"/>
      </w:pPr>
      <w:r>
        <w:rPr>
          <w:rFonts w:ascii="Calibri" w:hAnsi="Calibri" w:cs="Calibri" w:eastAsia="Calibri"/>
          <w:sz w:val="22"/>
        </w:rPr>
        <w:t>The honest implication is that a rider's "own" RULA score is approximate, not a direct measurement of that specific person.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 xml:space="preserve">Borg CR10 action levels on </w:t>
      </w:r>
      <w:r>
        <w:rPr>
          <w:rFonts w:ascii="Consolas" w:hAnsi="Consolas" w:cs="Consolas" w:eastAsia="Consolas"/>
          <w:sz w:val="20"/>
        </w:rPr>
        <w:t>force_exertion</w:t>
      </w:r>
      <w:r>
        <w:rPr>
          <w:rFonts w:ascii="Calibri" w:hAnsi="Calibri" w:cs="Calibri" w:eastAsia="Calibri"/>
          <w:sz w:val="22"/>
        </w:rPr>
        <w:t>:</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The Repetition factor is about how fast a rider works: how many deliveries they make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 xml:space="preserve">The first version of the binning split the riders into three equal- sized groups (using </w:t>
      </w:r>
      <w:r>
        <w:rPr>
          <w:rFonts w:ascii="Consolas" w:hAnsi="Consolas" w:cs="Consolas" w:eastAsia="Consolas"/>
          <w:sz w:val="20"/>
        </w:rPr>
        <w:t>pd.qcut(deliveries_per_hour, q=3)</w:t>
      </w:r>
      <w:r>
        <w:rPr>
          <w:rFonts w:ascii="Calibri" w:hAnsi="Calibri" w:cs="Calibri" w:eastAsia="Calibri"/>
          <w:sz w:val="22"/>
        </w:rPr>
        <w:t xml:space="preserve">). That ran into a real problem. The boundary between the Medium and High groups landed on the value 3.889 deliveries per hour, which happens to be exactly 35 deliveries over 9 hours. 55 of the 182 riders worked at that pace. Because of how </w:t>
      </w:r>
      <w:r>
        <w:rPr>
          <w:rFonts w:ascii="Consolas" w:hAnsi="Consolas" w:cs="Consolas" w:eastAsia="Consolas"/>
          <w:sz w:val="20"/>
        </w:rPr>
        <w:t>pd.qcut</w:t>
      </w:r>
      <w:r>
        <w:rPr>
          <w:rFonts w:ascii="Calibri" w:hAnsi="Calibri" w:cs="Calibri" w:eastAsia="Calibri"/>
          <w:sz w:val="22"/>
        </w:rPr>
        <w:t xml:space="preserve"> resolves boundaries, all 55 of them fell into the Medium group. The model never saw a High example that matched the busiest real schedule and so could never predict High for that rider. Phase 3 now uses fixed cuts instead of equal- sized groups:</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 xml:space="preserve">RULA Table C action levels on </w:t>
      </w:r>
      <w:r>
        <w:rPr>
          <w:rFonts w:ascii="Consolas" w:hAnsi="Consolas" w:cs="Consolas" w:eastAsia="Consolas"/>
          <w:sz w:val="20"/>
        </w:rPr>
        <w:t>rula_table_c</w:t>
      </w:r>
      <w:r>
        <w:rPr>
          <w:rFonts w:ascii="Calibri" w:hAnsi="Calibri" w:cs="Calibri" w:eastAsia="Calibri"/>
          <w:sz w:val="22"/>
        </w:rPr>
        <w:t>:</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 xml:space="preserve">numeric feature pool, masked above the diagonal. Pearson correlation for two variables </w:t>
      </w:r>
      <w:r>
        <w:rPr>
          <w:rFonts w:ascii="Consolas" w:hAnsi="Consolas" w:cs="Consolas" w:eastAsia="Consolas"/>
          <w:sz w:val="20"/>
        </w:rPr>
        <w:t>x</w:t>
      </w:r>
      <w:r>
        <w:rPr>
          <w:rFonts w:ascii="Calibri" w:hAnsi="Calibri" w:cs="Calibri" w:eastAsia="Calibri"/>
          <w:sz w:val="22"/>
        </w:rPr>
        <w:t xml:space="preserve"> and </w:t>
      </w:r>
      <w:r>
        <w:rPr>
          <w:rFonts w:ascii="Consolas" w:hAnsi="Consolas" w:cs="Consolas" w:eastAsia="Consolas"/>
          <w:sz w:val="20"/>
        </w:rPr>
        <w:t>y</w:t>
      </w:r>
      <w:r>
        <w:rPr>
          <w:rFonts w:ascii="Calibri" w:hAnsi="Calibri" w:cs="Calibri" w:eastAsia="Calibri"/>
          <w:sz w:val="22"/>
        </w:rPr>
        <w:t xml:space="preserve"> is</w:t>
      </w:r>
    </w:p>
    <w:p>
      <w:pPr>
        <w:spacing w:before="0" w:after="0"/>
        <w:ind w:left="340"/>
      </w:pPr>
      <w:r>
        <w:rPr>
          <w:rFonts w:ascii="Consolas" w:hAnsi="Consolas" w:cs="Consolas" w:eastAsia="Consolas"/>
          <w:color w:val="222222"/>
          <w:sz w:val="19"/>
        </w:rPr>
        <w:t xml:space="preserve">  r = sum((xi - x_mean) * (yi - y_mean))</w:t>
      </w:r>
    </w:p>
    <w:p>
      <w:pPr>
        <w:spacing w:before="0" w:after="0"/>
        <w:ind w:left="340"/>
      </w:pPr>
      <w:r>
        <w:rPr>
          <w:rFonts w:ascii="Consolas" w:hAnsi="Consolas" w:cs="Consolas" w:eastAsia="Consolas"/>
          <w:color w:val="222222"/>
          <w:sz w:val="19"/>
        </w:rPr>
        <w:t xml:space="preserve">      / sqrt(sum((xi - x_mean)^2) * sum((yi - y_mean)^2))</w:t>
      </w:r>
    </w:p>
    <w:p>
      <w:pPr>
        <w:spacing w:after="120"/>
      </w:pPr>
    </w:p>
    <w:p>
      <w:pPr>
        <w:spacing w:after="160"/>
      </w:pPr>
      <w:r>
        <w:rPr>
          <w:rFonts w:ascii="Calibri" w:hAnsi="Calibri" w:cs="Calibri" w:eastAsia="Calibri"/>
          <w:sz w:val="22"/>
        </w:rPr>
        <w:t xml:space="preserve">computed pairwise by </w:t>
      </w:r>
      <w:r>
        <w:rPr>
          <w:rFonts w:ascii="Consolas" w:hAnsi="Consolas" w:cs="Consolas" w:eastAsia="Consolas"/>
          <w:sz w:val="20"/>
        </w:rPr>
        <w:t>pandas.DataFrame.corr(method='pearson')</w:t>
      </w:r>
      <w:r>
        <w:rPr>
          <w:rFonts w:ascii="Calibri" w:hAnsi="Calibri" w:cs="Calibri" w:eastAsia="Calibri"/>
          <w:sz w:val="22"/>
        </w:rPr>
        <w:t>.</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The chi-square test asks a simple question: are riders in the High band of this risk factor more likely to report discomfort than riders in the Low band, beyond what random chance would explain?</w:t>
      </w:r>
    </w:p>
    <w:p>
      <w:pPr>
        <w:spacing w:after="160"/>
      </w:pPr>
      <w:r>
        <w:rPr>
          <w:rFonts w:ascii="Calibri" w:hAnsi="Calibri" w:cs="Calibri" w:eastAsia="Calibri"/>
          <w:sz w:val="22"/>
        </w:rPr>
        <w:t>For each of the six risk factors, we build a small 2 by 3 table counting how many riders reported discomfort and how many did not, broken down by Low / Medium / High. The chi-square test of independence (</w:t>
      </w:r>
      <w:r>
        <w:rPr>
          <w:rFonts w:ascii="Consolas" w:hAnsi="Consolas" w:cs="Consolas" w:eastAsia="Consolas"/>
          <w:sz w:val="20"/>
        </w:rPr>
        <w:t>scipy.stats.chi2_contingency</w:t>
      </w:r>
      <w:r>
        <w:rPr>
          <w:rFonts w:ascii="Calibri" w:hAnsi="Calibri" w:cs="Calibri" w:eastAsia="Calibri"/>
          <w:sz w:val="22"/>
        </w:rPr>
        <w:t>) compares the observed counts against the counts we would expect if discomfort and risk were unrelated. We treat p &lt; 0.05 as significant.</w:t>
      </w:r>
    </w:p>
    <w:p>
      <w:pPr>
        <w:spacing w:after="160"/>
      </w:pPr>
      <w:r>
        <w:rPr>
          <w:rFonts w:ascii="Calibri" w:hAnsi="Calibri" w:cs="Calibri" w:eastAsia="Calibri"/>
          <w:sz w:val="22"/>
        </w:rPr>
        <w:t>The Pearson chi-square statistic adds up the squared differences between observed and expected, scaled by expected:</w:t>
      </w:r>
    </w:p>
    <w:p>
      <w:pPr>
        <w:spacing w:before="0" w:after="0"/>
        <w:ind w:left="340"/>
      </w:pPr>
      <w:r>
        <w:rPr>
          <w:rFonts w:ascii="Consolas" w:hAnsi="Consolas" w:cs="Consolas" w:eastAsia="Consolas"/>
          <w:color w:val="222222"/>
          <w:sz w:val="19"/>
        </w:rPr>
        <w:t>chi2 = sum_over_cells((observed - expected)^2 / expected)</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expected_ij = row_total_i * col_total_j / grand_total</w:t>
      </w:r>
      <w:r>
        <w:rPr>
          <w:rFonts w:ascii="Calibri" w:hAnsi="Calibri" w:cs="Calibri" w:eastAsia="Calibri"/>
          <w:sz w:val="22"/>
        </w:rPr>
        <w:t xml:space="preserve">, evaluated against the chi-square distribution with </w:t>
      </w:r>
      <w:r>
        <w:rPr>
          <w:rFonts w:ascii="Consolas" w:hAnsi="Consolas" w:cs="Consolas" w:eastAsia="Consolas"/>
          <w:sz w:val="20"/>
        </w:rPr>
        <w:t>(rows - 1) * (cols - 1)</w:t>
      </w:r>
      <w:r>
        <w:rPr>
          <w:rFonts w:ascii="Calibri" w:hAnsi="Calibri" w:cs="Calibri" w:eastAsia="Calibri"/>
          <w:sz w:val="22"/>
        </w:rPr>
        <w:t xml:space="preserve"> degrees of freedom. For our 2 x 3 tables the degrees of freedom is 2.</w:t>
      </w:r>
    </w:p>
    <w:p>
      <w:pPr>
        <w:spacing w:after="160"/>
      </w:pPr>
      <w:r>
        <w:rPr>
          <w:rFonts w:ascii="Calibri" w:hAnsi="Calibri" w:cs="Calibri" w:eastAsia="Calibri"/>
          <w:b/>
          <w:sz w:val="22"/>
        </w:rPr>
        <w:t>Table 1. Chi-square test of independence between each risk factor and self-reported 12-month discomfort.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3B73"/>
          </w:tcPr>
          <w:p>
            <w:r/>
            <w:r>
              <w:rPr>
                <w:rFonts w:ascii="Calibri" w:hAnsi="Calibri" w:cs="Calibri" w:eastAsia="Calibri"/>
                <w:b/>
                <w:color w:val="FFFFFF"/>
                <w:sz w:val="20"/>
              </w:rPr>
              <w:t>Factor</w:t>
            </w:r>
          </w:p>
        </w:tc>
        <w:tc>
          <w:tcPr>
            <w:tcW w:type="dxa" w:w="1994"/>
            <w:shd w:fill="1F3B73"/>
          </w:tcPr>
          <w:p>
            <w:r/>
            <w:r>
              <w:rPr>
                <w:rFonts w:ascii="Calibri" w:hAnsi="Calibri" w:cs="Calibri" w:eastAsia="Calibri"/>
                <w:b/>
                <w:color w:val="FFFFFF"/>
                <w:sz w:val="20"/>
              </w:rPr>
              <w:t>chi-square</w:t>
            </w:r>
          </w:p>
        </w:tc>
        <w:tc>
          <w:tcPr>
            <w:tcW w:type="dxa" w:w="1994"/>
            <w:shd w:fill="1F3B73"/>
          </w:tcPr>
          <w:p>
            <w:r/>
            <w:r>
              <w:rPr>
                <w:rFonts w:ascii="Calibri" w:hAnsi="Calibri" w:cs="Calibri" w:eastAsia="Calibri"/>
                <w:b/>
                <w:color w:val="FFFFFF"/>
                <w:sz w:val="20"/>
              </w:rPr>
              <w:t>dof</w:t>
            </w:r>
          </w:p>
        </w:tc>
        <w:tc>
          <w:tcPr>
            <w:tcW w:type="dxa" w:w="1994"/>
            <w:shd w:fill="1F3B73"/>
          </w:tcPr>
          <w:p>
            <w:r/>
            <w:r>
              <w:rPr>
                <w:rFonts w:ascii="Calibri" w:hAnsi="Calibri" w:cs="Calibri" w:eastAsia="Calibri"/>
                <w:b/>
                <w:color w:val="FFFFFF"/>
                <w:sz w:val="20"/>
              </w:rPr>
              <w:t>p</w:t>
            </w:r>
          </w:p>
        </w:tc>
        <w:tc>
          <w:tcPr>
            <w:tcW w:type="dxa" w:w="1994"/>
            <w:shd w:fill="1F3B73"/>
          </w:tcPr>
          <w:p>
            <w:r/>
            <w:r>
              <w:rPr>
                <w:rFonts w:ascii="Calibri" w:hAnsi="Calibri" w:cs="Calibri" w:eastAsia="Calibri"/>
                <w:b/>
                <w:color w:val="FFFFFF"/>
                <w:sz w:val="20"/>
              </w:rPr>
              <w:t>Significant</w:t>
            </w:r>
          </w:p>
        </w:tc>
      </w:tr>
      <w:tr>
        <w:tc>
          <w:tcPr>
            <w:tcW w:type="dxa" w:w="1994"/>
          </w:tcPr>
          <w:p>
            <w:r/>
            <w:r>
              <w:rPr>
                <w:rFonts w:ascii="Calibri" w:hAnsi="Calibri" w:cs="Calibri" w:eastAsia="Calibri"/>
                <w:sz w:val="22"/>
              </w:rPr>
              <w:t>Posture</w:t>
            </w:r>
          </w:p>
        </w:tc>
        <w:tc>
          <w:tcPr>
            <w:tcW w:type="dxa" w:w="1994"/>
          </w:tcPr>
          <w:p>
            <w:r/>
            <w:r>
              <w:rPr>
                <w:rFonts w:ascii="Calibri" w:hAnsi="Calibri" w:cs="Calibri" w:eastAsia="Calibri"/>
                <w:sz w:val="22"/>
              </w:rPr>
              <w:t>45.67</w:t>
            </w:r>
          </w:p>
        </w:tc>
        <w:tc>
          <w:tcPr>
            <w:tcW w:type="dxa" w:w="1994"/>
          </w:tcPr>
          <w:p>
            <w:r/>
            <w:r>
              <w:rPr>
                <w:rFonts w:ascii="Calibri" w:hAnsi="Calibri" w:cs="Calibri" w:eastAsia="Calibri"/>
                <w:sz w:val="22"/>
              </w:rPr>
              <w:t>1</w:t>
            </w:r>
          </w:p>
        </w:tc>
        <w:tc>
          <w:tcPr>
            <w:tcW w:type="dxa" w:w="1994"/>
          </w:tcPr>
          <w:p>
            <w:r/>
            <w:r>
              <w:rPr>
                <w:rFonts w:ascii="Calibri" w:hAnsi="Calibri" w:cs="Calibri" w:eastAsia="Calibri"/>
                <w:sz w:val="22"/>
              </w:rPr>
              <w:t>&lt;0.001</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Repetition</w:t>
            </w:r>
          </w:p>
        </w:tc>
        <w:tc>
          <w:tcPr>
            <w:tcW w:type="dxa" w:w="1994"/>
          </w:tcPr>
          <w:p>
            <w:r/>
            <w:r>
              <w:rPr>
                <w:rFonts w:ascii="Calibri" w:hAnsi="Calibri" w:cs="Calibri" w:eastAsia="Calibri"/>
                <w:sz w:val="22"/>
              </w:rPr>
              <w:t>8.62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0.014</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Force</w:t>
            </w:r>
          </w:p>
        </w:tc>
        <w:tc>
          <w:tcPr>
            <w:tcW w:type="dxa" w:w="1994"/>
          </w:tcPr>
          <w:p>
            <w:r/>
            <w:r>
              <w:rPr>
                <w:rFonts w:ascii="Calibri" w:hAnsi="Calibri" w:cs="Calibri" w:eastAsia="Calibri"/>
                <w:sz w:val="22"/>
              </w:rPr>
              <w:t>6.72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0.035</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Duration</w:t>
            </w:r>
          </w:p>
        </w:tc>
        <w:tc>
          <w:tcPr>
            <w:tcW w:type="dxa" w:w="1994"/>
          </w:tcPr>
          <w:p>
            <w:r/>
            <w:r>
              <w:rPr>
                <w:rFonts w:ascii="Calibri" w:hAnsi="Calibri" w:cs="Calibri" w:eastAsia="Calibri"/>
                <w:sz w:val="22"/>
              </w:rPr>
              <w:t>0.62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0.73</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Vibration</w:t>
            </w:r>
          </w:p>
        </w:tc>
        <w:tc>
          <w:tcPr>
            <w:tcW w:type="dxa" w:w="1994"/>
          </w:tcPr>
          <w:p>
            <w:r/>
            <w:r>
              <w:rPr>
                <w:rFonts w:ascii="Calibri" w:hAnsi="Calibri" w:cs="Calibri" w:eastAsia="Calibri"/>
                <w:sz w:val="22"/>
              </w:rPr>
              <w:t>0.60</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0.74</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Contact Stress</w:t>
            </w:r>
          </w:p>
        </w:tc>
        <w:tc>
          <w:tcPr>
            <w:tcW w:type="dxa" w:w="1994"/>
          </w:tcPr>
          <w:p>
            <w:r/>
            <w:r>
              <w:rPr>
                <w:rFonts w:ascii="Calibri" w:hAnsi="Calibri" w:cs="Calibri" w:eastAsia="Calibri"/>
                <w:sz w:val="22"/>
              </w:rPr>
              <w:t>0.54</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0.76</w:t>
            </w:r>
          </w:p>
        </w:tc>
        <w:tc>
          <w:tcPr>
            <w:tcW w:type="dxa" w:w="1994"/>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alibri" w:hAnsi="Calibri" w:cs="Calibri" w:eastAsia="Calibri"/>
          <w:sz w:val="22"/>
        </w:rPr>
        <w:t>A chi-square test treats one factor at a time. Logistic regression goes one step further: it estimates the effect of each predictor while controlling for the others, so we can tell whether (say) age is still a significant predictor of discomfort after accounting for work hours and workload.</w:t>
      </w:r>
    </w:p>
    <w:p>
      <w:pPr>
        <w:spacing w:after="160"/>
      </w:pPr>
      <w:r>
        <w:rPr>
          <w:rFonts w:ascii="Calibri" w:hAnsi="Calibri" w:cs="Calibri" w:eastAsia="Calibri"/>
          <w:sz w:val="22"/>
        </w:rPr>
        <w:t>We fit a logistic regression (</w:t>
      </w:r>
      <w:r>
        <w:rPr>
          <w:rFonts w:ascii="Consolas" w:hAnsi="Consolas" w:cs="Consolas" w:eastAsia="Consolas"/>
          <w:sz w:val="20"/>
        </w:rPr>
        <w:t>statsmodels.api.Logit</w:t>
      </w:r>
      <w:r>
        <w:rPr>
          <w:rFonts w:ascii="Calibri" w:hAnsi="Calibri" w:cs="Calibri" w:eastAsia="Calibri"/>
          <w:sz w:val="22"/>
        </w:rPr>
        <w:t>) with discomfort as the outcome and these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The model itself estimates the probability that a rider reports discomfort as a function of their profile:</w:t>
      </w:r>
    </w:p>
    <w:p>
      <w:pPr>
        <w:spacing w:before="0" w:after="0"/>
        <w:ind w:left="340"/>
      </w:pPr>
      <w:r>
        <w:rPr>
          <w:rFonts w:ascii="Consolas" w:hAnsi="Consolas" w:cs="Consolas" w:eastAsia="Consolas"/>
          <w:color w:val="222222"/>
          <w:sz w:val="19"/>
        </w:rPr>
        <w:t>P(discomfort = 1 | X) = 1 / (1 + exp(-(b0 + b1*x1 + b2*x2 + ... + bk*xk)))</w:t>
      </w:r>
    </w:p>
    <w:p>
      <w:pPr>
        <w:spacing w:after="120"/>
      </w:pPr>
    </w:p>
    <w:p>
      <w:pPr>
        <w:spacing w:after="160"/>
      </w:pPr>
      <w:r>
        <w:rPr>
          <w:rFonts w:ascii="Calibri" w:hAnsi="Calibri" w:cs="Calibri" w:eastAsia="Calibri"/>
          <w:sz w:val="22"/>
        </w:rPr>
        <w:t>equivalently</w:t>
      </w:r>
    </w:p>
    <w:p>
      <w:pPr>
        <w:spacing w:before="0" w:after="0"/>
        <w:ind w:left="340"/>
      </w:pPr>
      <w:r>
        <w:rPr>
          <w:rFonts w:ascii="Consolas" w:hAnsi="Consolas" w:cs="Consolas" w:eastAsia="Consolas"/>
          <w:color w:val="222222"/>
          <w:sz w:val="19"/>
        </w:rPr>
        <w:t>logit(P) = log(P / (1 - P)) = b0 + b1*x1 + b2*x2 + ... + bk*xk</w:t>
      </w:r>
    </w:p>
    <w:p>
      <w:pPr>
        <w:spacing w:after="120"/>
      </w:pPr>
    </w:p>
    <w:p>
      <w:pPr>
        <w:spacing w:after="160"/>
      </w:pPr>
      <w:r>
        <w:rPr>
          <w:rFonts w:ascii="Calibri" w:hAnsi="Calibri" w:cs="Calibri" w:eastAsia="Calibri"/>
          <w:sz w:val="22"/>
        </w:rPr>
        <w:t xml:space="preserve">The coefficients </w:t>
      </w:r>
      <w:r>
        <w:rPr>
          <w:rFonts w:ascii="Consolas" w:hAnsi="Consolas" w:cs="Consolas" w:eastAsia="Consolas"/>
          <w:sz w:val="20"/>
        </w:rPr>
        <w:t>bj</w:t>
      </w:r>
      <w:r>
        <w:rPr>
          <w:rFonts w:ascii="Calibri" w:hAnsi="Calibri" w:cs="Calibri" w:eastAsia="Calibri"/>
          <w:sz w:val="22"/>
        </w:rPr>
        <w:t xml:space="preserve"> are fit by maximum likelihood (Newton-Raphson iterations under the hood). The result for each predictor is typically reported as an odds ratio. An odds ratio of 2 means that each one-unit increase in that predictor doubles the odds of reporting discomfort. The odds ratio is </w:t>
      </w:r>
      <w:r>
        <w:rPr>
          <w:rFonts w:ascii="Consolas" w:hAnsi="Consolas" w:cs="Consolas" w:eastAsia="Consolas"/>
          <w:sz w:val="20"/>
        </w:rPr>
        <w:t>exp(bj)</w:t>
      </w:r>
      <w:r>
        <w:rPr>
          <w:rFonts w:ascii="Calibri" w:hAnsi="Calibri" w:cs="Calibri" w:eastAsia="Calibri"/>
          <w:sz w:val="22"/>
        </w:rPr>
        <w:t xml:space="preserve">, and the 95 percent confidence interval is </w:t>
      </w:r>
      <w:r>
        <w:rPr>
          <w:rFonts w:ascii="Consolas" w:hAnsi="Consolas" w:cs="Consolas" w:eastAsia="Consolas"/>
          <w:sz w:val="20"/>
        </w:rPr>
        <w:t>exp(bj +/- 1.96 * SE(bj))</w:t>
      </w:r>
      <w:r>
        <w:rPr>
          <w:rFonts w:ascii="Calibri" w:hAnsi="Calibri" w:cs="Calibri" w:eastAsia="Calibri"/>
          <w:sz w:val="22"/>
        </w:rPr>
        <w:t xml:space="preserve"> where </w:t>
      </w:r>
      <w:r>
        <w:rPr>
          <w:rFonts w:ascii="Consolas" w:hAnsi="Consolas" w:cs="Consolas" w:eastAsia="Consolas"/>
          <w:sz w:val="20"/>
        </w:rPr>
        <w:t>SE(bj)</w:t>
      </w:r>
      <w:r>
        <w:rPr>
          <w:rFonts w:ascii="Calibri" w:hAnsi="Calibri" w:cs="Calibri" w:eastAsia="Calibri"/>
          <w:sz w:val="22"/>
        </w:rPr>
        <w:t xml:space="preserve"> is the standard error of the coefficient.</w:t>
      </w:r>
    </w:p>
    <w:p>
      <w:pPr>
        <w:spacing w:after="160"/>
      </w:pPr>
      <w:r>
        <w:rPr>
          <w:rFonts w:ascii="Calibri" w:hAnsi="Calibri" w:cs="Calibri" w:eastAsia="Calibri"/>
          <w:b/>
          <w:sz w:val="22"/>
        </w:rPr>
        <w:t>Table 2. Multivariable logistic regression of discomfort on rider profile, 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A "feature pool" is the full list of inputs the model is allowed to look at. All five survey-based factors share the same starting pool of 44 features, which is everything we engineered in Phase 2 minus the items unique to the observation worksheets: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The Posture model is special. On top of the 44 survey features, it also gets the 11 RULA components and the 8 QEC scores. These are the real ergonomic observation inputs: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There is one important fairness rule. Phase 3 uses certain survey inputs directly to decide the Low/Medium/High label. If we then let a model see those same inputs, it would just memorise the rule instead of learning to predict. This is called label leakage. To prevent it, each target removes the inputs that define its own Stage-1 rule before training:</w:t>
      </w:r>
    </w:p>
    <w:p>
      <w:pPr>
        <w:spacing w:after="160"/>
      </w:pPr>
      <w:r>
        <w:rPr>
          <w:rFonts w:ascii="Calibri" w:hAnsi="Calibri" w:cs="Calibri" w:eastAsia="Calibri"/>
          <w:b/>
          <w:sz w:val="22"/>
        </w:rPr>
        <w:t>Table 3. Per-target feature exclusions and final feature count.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alibri" w:hAnsi="Calibri" w:cs="Calibri" w:eastAsia="Calibri"/>
          <w:sz w:val="22"/>
        </w:rPr>
        <w:t xml:space="preserve">A note on Duration: </w:t>
      </w:r>
      <w:r>
        <w:rPr>
          <w:rFonts w:ascii="Consolas" w:hAnsi="Consolas" w:cs="Consolas" w:eastAsia="Consolas"/>
          <w:sz w:val="20"/>
        </w:rPr>
        <w:t>vibration_index</w:t>
      </w:r>
      <w:r>
        <w:rPr>
          <w:rFonts w:ascii="Calibri" w:hAnsi="Calibri" w:cs="Calibri" w:eastAsia="Calibri"/>
          <w:sz w:val="22"/>
        </w:rPr>
        <w:t xml:space="preserve"> had to be added to its exclusion list after an earlier run reported a suspicious 100 percent accuracy. The decision trees had figured out that </w:t>
      </w:r>
      <w:r>
        <w:rPr>
          <w:rFonts w:ascii="Consolas" w:hAnsi="Consolas" w:cs="Consolas" w:eastAsia="Consolas"/>
          <w:sz w:val="20"/>
        </w:rPr>
        <w:t>vibration_index = vehicle_rank * work_hours_num</w:t>
      </w:r>
      <w:r>
        <w:rPr>
          <w:rFonts w:ascii="Calibri" w:hAnsi="Calibri" w:cs="Calibri" w:eastAsia="Calibri"/>
          <w:sz w:val="22"/>
        </w:rPr>
        <w:t xml:space="preserve">, so they were recovering </w:t>
      </w:r>
      <w:r>
        <w:rPr>
          <w:rFonts w:ascii="Consolas" w:hAnsi="Consolas" w:cs="Consolas" w:eastAsia="Consolas"/>
          <w:sz w:val="20"/>
        </w:rPr>
        <w:t>work_hours_num</w:t>
      </w:r>
      <w:r>
        <w:rPr>
          <w:rFonts w:ascii="Calibri" w:hAnsi="Calibri" w:cs="Calibri" w:eastAsia="Calibri"/>
          <w:sz w:val="22"/>
        </w:rPr>
        <w:t xml:space="preserve"> indirectly even though we had blocked it directly. The fix is documented in the Limitations section.</w:t>
      </w:r>
    </w:p>
    <w:p>
      <w:pPr>
        <w:spacing w:after="160"/>
      </w:pPr>
      <w:r>
        <w:rPr>
          <w:rFonts w:ascii="Calibri" w:hAnsi="Calibri" w:cs="Calibri" w:eastAsia="Calibri"/>
          <w:sz w:val="22"/>
        </w:rPr>
        <w:t xml:space="preserve">For Posture, the derived RULA Table A, B, and C scores are also left out, even though they sit in the same xlsx file. The Posture Stage-1 label is just </w:t>
      </w:r>
      <w:r>
        <w:rPr>
          <w:rFonts w:ascii="Consolas" w:hAnsi="Consolas" w:cs="Consolas" w:eastAsia="Consolas"/>
          <w:sz w:val="20"/>
        </w:rPr>
        <w:t>rula_table_c</w:t>
      </w:r>
      <w:r>
        <w:rPr>
          <w:rFonts w:ascii="Calibri" w:hAnsi="Calibri" w:cs="Calibri" w:eastAsia="Calibri"/>
          <w:sz w:val="22"/>
        </w:rPr>
        <w:t xml:space="preserve"> divided into bands, so handing that column to the model would be like giving it the answer key. The 11 raw components and 8 QEC scores are fine, because the model has to learn the lookup relationship between them and the final band.</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We do not commit to a single algorithm up front. For each of the six targets, we train seven different classifiers and pick whichever one performs best (measured by F1 macro, defined later). The seven candidates cover a wide range of model families:</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The simplest of the seven. It draws a straight (linear) boundary between classes and is the same family as the statistical model in Phase 5. We configure it with </w:t>
      </w:r>
      <w:r>
        <w:rPr>
          <w:rFonts w:ascii="Consolas" w:hAnsi="Consolas" w:cs="Consolas" w:eastAsia="Consolas"/>
          <w:sz w:val="20"/>
        </w:rPr>
        <w:t>class_weight='balanced'</w:t>
      </w:r>
      <w:r>
        <w:rPr>
          <w:rFonts w:ascii="Calibri" w:hAnsi="Calibri" w:cs="Calibri" w:eastAsia="Calibri"/>
          <w:sz w:val="22"/>
        </w:rPr>
        <w:t xml:space="preserve"> so minority classes are not ignored, </w:t>
      </w:r>
      <w:r>
        <w:rPr>
          <w:rFonts w:ascii="Consolas" w:hAnsi="Consolas" w:cs="Consolas" w:eastAsia="Consolas"/>
          <w:sz w:val="20"/>
        </w:rPr>
        <w:t>max_iter=2000</w:t>
      </w:r>
      <w:r>
        <w:rPr>
          <w:rFonts w:ascii="Calibri" w:hAnsi="Calibri" w:cs="Calibri" w:eastAsia="Calibri"/>
          <w:sz w:val="22"/>
        </w:rPr>
        <w:t xml:space="preserve"> so it has enough iterations to settle on a final fit, and </w:t>
      </w:r>
      <w:r>
        <w:rPr>
          <w:rFonts w:ascii="Consolas" w:hAnsi="Consolas" w:cs="Consolas" w:eastAsia="Consolas"/>
          <w:sz w:val="20"/>
        </w:rPr>
        <w:t>random_state=42</w:t>
      </w:r>
      <w:r>
        <w:rPr>
          <w:rFonts w:ascii="Calibri" w:hAnsi="Calibri" w:cs="Calibri" w:eastAsia="Calibri"/>
          <w:sz w:val="22"/>
        </w:rPr>
        <w:t xml:space="preserve">. The one hyperparameter we tune is the regularisation strength </w:t>
      </w:r>
      <w:r>
        <w:rPr>
          <w:rFonts w:ascii="Consolas" w:hAnsi="Consolas" w:cs="Consolas" w:eastAsia="Consolas"/>
          <w:sz w:val="20"/>
        </w:rPr>
        <w:t>C</w:t>
      </w:r>
      <w:r>
        <w:rPr>
          <w:rFonts w:ascii="Calibri" w:hAnsi="Calibri" w:cs="Calibri" w:eastAsia="Calibri"/>
          <w:sz w:val="22"/>
        </w:rPr>
        <w:t xml:space="preserve"> across </w:t>
      </w:r>
      <w:r>
        <w:rPr>
          <w:rFonts w:ascii="Consolas" w:hAnsi="Consolas" w:cs="Consolas" w:eastAsia="Consolas"/>
          <w:sz w:val="20"/>
        </w:rPr>
        <w:t>{0.1, 1.0, 10.0}</w:t>
      </w:r>
      <w:r>
        <w:rPr>
          <w:rFonts w:ascii="Calibri" w:hAnsi="Calibri" w:cs="Calibri" w:eastAsia="Calibri"/>
          <w:sz w:val="22"/>
        </w:rPr>
        <w:t>, which controls how much the model is penalised for using large coefficients.</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tree that asks a series of Yes/No questions about the features and lands the rider in a leaf with a predicted class. With only 182 rows the tree can easily memorise the data, so we tune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to limit how many questions deep it can go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require each leaf to cover at least a few riders. Class balance and random seed are the same as Logistic Regression.</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forest of many trees, each trained on a slightly different random subsample of the data and looking at a random subset of features at each split. The final prediction is the most-voted class across the forest. This averaging usually makes the forest more accurate and more stable than any single tree. Tuned: </w:t>
      </w:r>
      <w:r>
        <w:rPr>
          <w:rFonts w:ascii="Consolas" w:hAnsi="Consolas" w:cs="Consolas" w:eastAsia="Consolas"/>
          <w:sz w:val="20"/>
        </w:rPr>
        <w:t>n_estimators</w:t>
      </w:r>
      <w:r>
        <w:rPr>
          <w:rFonts w:ascii="Calibri" w:hAnsi="Calibri" w:cs="Calibri" w:eastAsia="Calibri"/>
          <w:sz w:val="22"/>
        </w:rPr>
        <w:t xml:space="preserve"> (300 or 500 trees) and </w:t>
      </w:r>
      <w:r>
        <w:rPr>
          <w:rFonts w:ascii="Consolas" w:hAnsi="Consolas" w:cs="Consolas" w:eastAsia="Consolas"/>
          <w:sz w:val="20"/>
        </w:rPr>
        <w:t>max_depth</w:t>
      </w:r>
      <w:r>
        <w:rPr>
          <w:rFonts w:ascii="Calibri" w:hAnsi="Calibri" w:cs="Calibri" w:eastAsia="Calibri"/>
          <w:sz w:val="22"/>
        </w:rPr>
        <w:t xml:space="preserve"> (5, 10, or unlimited).</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A close cousin of Random Forest, but each split point inside a tree is chosen randomly instead of being optimised. The extra randomness reduces variance further and often helps on small samples like ours. Configuration and tuned hyperparameter grid are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Boosting builds trees one after the other, with each new tree trying to fix the mistakes the previous trees made. The "Hist" version groups similar values into bins for speed and works very well on tabular data like ours. Tuned: </w:t>
      </w:r>
      <w:r>
        <w:rPr>
          <w:rFonts w:ascii="Consolas" w:hAnsi="Consolas" w:cs="Consolas" w:eastAsia="Consolas"/>
          <w:sz w:val="20"/>
        </w:rPr>
        <w:t>max_depth</w:t>
      </w:r>
      <w:r>
        <w:rPr>
          <w:rFonts w:ascii="Calibri" w:hAnsi="Calibri" w:cs="Calibri" w:eastAsia="Calibri"/>
          <w:sz w:val="22"/>
        </w:rPr>
        <w:t xml:space="preserve"> (3, 5, or unlimited) and </w:t>
      </w:r>
      <w:r>
        <w:rPr>
          <w:rFonts w:ascii="Consolas" w:hAnsi="Consolas" w:cs="Consolas" w:eastAsia="Consolas"/>
          <w:sz w:val="20"/>
        </w:rPr>
        <w:t>learning_rate</w:t>
      </w:r>
      <w:r>
        <w:rPr>
          <w:rFonts w:ascii="Calibri" w:hAnsi="Calibri" w:cs="Calibri" w:eastAsia="Calibri"/>
          <w:sz w:val="22"/>
        </w:rPr>
        <w:t xml:space="preserve"> (0.05 or 0.1), which controls how much each new tree is allowed to change the running prediction.</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Another boosted-trees implementation that adds an extra regularisation term, often topping leaderboards on tabular problems. We track multi-class log-loss during fitting (</w:t>
      </w:r>
      <w:r>
        <w:rPr>
          <w:rFonts w:ascii="Consolas" w:hAnsi="Consolas" w:cs="Consolas" w:eastAsia="Consolas"/>
          <w:sz w:val="20"/>
        </w:rPr>
        <w:t>eval_metric='mlogloss'</w:t>
      </w:r>
      <w:r>
        <w:rPr>
          <w:rFonts w:ascii="Calibri" w:hAnsi="Calibri" w:cs="Calibri" w:eastAsia="Calibri"/>
          <w:sz w:val="22"/>
        </w:rPr>
        <w:t>), keep the console quiet (</w:t>
      </w:r>
      <w:r>
        <w:rPr>
          <w:rFonts w:ascii="Consolas" w:hAnsi="Consolas" w:cs="Consolas" w:eastAsia="Consolas"/>
          <w:sz w:val="20"/>
        </w:rPr>
        <w:t>verbosity=0</w:t>
      </w:r>
      <w:r>
        <w:rPr>
          <w:rFonts w:ascii="Calibri" w:hAnsi="Calibri" w:cs="Calibri" w:eastAsia="Calibri"/>
          <w:sz w:val="22"/>
        </w:rPr>
        <w:t xml:space="preserve">), and fix the random seed. Tuned: </w:t>
      </w:r>
      <w:r>
        <w:rPr>
          <w:rFonts w:ascii="Consolas" w:hAnsi="Consolas" w:cs="Consolas" w:eastAsia="Consolas"/>
          <w:sz w:val="20"/>
        </w:rPr>
        <w:t>n_estimators</w:t>
      </w:r>
      <w:r>
        <w:rPr>
          <w:rFonts w:ascii="Calibri" w:hAnsi="Calibri" w:cs="Calibri" w:eastAsia="Calibri"/>
          <w:sz w:val="22"/>
        </w:rPr>
        <w:t xml:space="preserve"> (200 or 400 trees), </w:t>
      </w:r>
      <w:r>
        <w:rPr>
          <w:rFonts w:ascii="Consolas" w:hAnsi="Consolas" w:cs="Consolas" w:eastAsia="Consolas"/>
          <w:sz w:val="20"/>
        </w:rPr>
        <w:t>max_depth</w:t>
      </w:r>
      <w:r>
        <w:rPr>
          <w:rFonts w:ascii="Calibri" w:hAnsi="Calibri" w:cs="Calibri" w:eastAsia="Calibri"/>
          <w:sz w:val="22"/>
        </w:rPr>
        <w:t xml:space="preserve"> (3, 4, or 6), </w:t>
      </w:r>
      <w:r>
        <w:rPr>
          <w:rFonts w:ascii="Consolas" w:hAnsi="Consolas" w:cs="Consolas" w:eastAsia="Consolas"/>
          <w:sz w:val="20"/>
        </w:rPr>
        <w:t>learning_rate</w:t>
      </w:r>
      <w:r>
        <w:rPr>
          <w:rFonts w:ascii="Calibri" w:hAnsi="Calibri" w:cs="Calibri" w:eastAsia="Calibri"/>
          <w:sz w:val="22"/>
        </w:rPr>
        <w:t xml:space="preserve"> (0.05 or 0.1).</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The most complex of the seven. Stacking takes the predictions of several base models and feeds them into a final model that learns the best way to combine them. We use four base models: a Random 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 Trees with the same settings,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 Gradient Boosting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The final combiner is a Logistic Regression with balanced class weights. Internal three-fold stacking is used. No additional grid search is run at the stacking level because the base models inside it are already tuned.</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Several of the risk factors have a small class. Repetition has only 26 Low riders, Posture has only 29 Medium observations. A model trained on this kind of skewed data tends to play it safe by predicting the majority class for everyone, which gives high raw accuracy but is useless as a screening tool.</w:t>
      </w:r>
    </w:p>
    <w:p>
      <w:pPr>
        <w:spacing w:after="160"/>
      </w:pPr>
      <w:r>
        <w:rPr>
          <w:rFonts w:ascii="Calibri" w:hAnsi="Calibri" w:cs="Calibri" w:eastAsia="Calibri"/>
          <w:sz w:val="22"/>
        </w:rPr>
        <w:t xml:space="preserve">SMOTE (Synthetic Minority Over-sampling Technique) fixes this by generating extra minority-class examples during training. It picks a minority rider, finds one of their nearest minority neighbours, and creates a new synthetic rider somewhere on the line between the two. Formally, for a minority sample </w:t>
      </w:r>
      <w:r>
        <w:rPr>
          <w:rFonts w:ascii="Consolas" w:hAnsi="Consolas" w:cs="Consolas" w:eastAsia="Consolas"/>
          <w:sz w:val="20"/>
        </w:rPr>
        <w:t>x_i</w:t>
      </w:r>
      <w:r>
        <w:rPr>
          <w:rFonts w:ascii="Calibri" w:hAnsi="Calibri" w:cs="Calibri" w:eastAsia="Calibri"/>
          <w:sz w:val="22"/>
        </w:rPr>
        <w:t xml:space="preserve"> and one of its k nearest minority neighbours </w:t>
      </w:r>
      <w:r>
        <w:rPr>
          <w:rFonts w:ascii="Consolas" w:hAnsi="Consolas" w:cs="Consolas" w:eastAsia="Consolas"/>
          <w:sz w:val="20"/>
        </w:rPr>
        <w:t>x_nn</w:t>
      </w:r>
      <w:r>
        <w:rPr>
          <w:rFonts w:ascii="Calibri" w:hAnsi="Calibri" w:cs="Calibri" w:eastAsia="Calibri"/>
          <w:sz w:val="22"/>
        </w:rPr>
        <w:t xml:space="preserve"> chosen at random:</w:t>
      </w:r>
    </w:p>
    <w:p>
      <w:pPr>
        <w:spacing w:before="0" w:after="0"/>
        <w:ind w:left="340"/>
      </w:pPr>
      <w:r>
        <w:rPr>
          <w:rFonts w:ascii="Consolas" w:hAnsi="Consolas" w:cs="Consolas" w:eastAsia="Consolas"/>
          <w:color w:val="222222"/>
          <w:sz w:val="19"/>
        </w:rPr>
        <w:t>x_new = x_i + lambda * (x_nn - x_i)        with lambda ~ Uniform(0, 1)</w:t>
      </w:r>
    </w:p>
    <w:p>
      <w:pPr>
        <w:spacing w:after="120"/>
      </w:pPr>
    </w:p>
    <w:p>
      <w:pPr>
        <w:spacing w:after="160"/>
      </w:pPr>
      <w:r>
        <w:rPr>
          <w:rFonts w:ascii="Calibri" w:hAnsi="Calibri" w:cs="Calibri" w:eastAsia="Calibri"/>
          <w:sz w:val="22"/>
        </w:rPr>
        <w:t xml:space="preserve">The nearest neighbours are found using straight-line (Euclidean) distance in the original feature space. Crucially we run SMOTE inside an </w:t>
      </w:r>
      <w:r>
        <w:rPr>
          <w:rFonts w:ascii="Consolas" w:hAnsi="Consolas" w:cs="Consolas" w:eastAsia="Consolas"/>
          <w:sz w:val="20"/>
        </w:rPr>
        <w:t>imblearn.Pipeline</w:t>
      </w:r>
      <w:r>
        <w:rPr>
          <w:rFonts w:ascii="Calibri" w:hAnsi="Calibri" w:cs="Calibri" w:eastAsia="Calibri"/>
          <w:sz w:val="22"/>
        </w:rPr>
        <w:t xml:space="preserve"> so the oversampling happens only on the training data within each cross-validation fold; the held-out validation rows are never touched by synthetic data.</w:t>
      </w:r>
    </w:p>
    <w:p>
      <w:pPr>
        <w:spacing w:after="160"/>
      </w:pPr>
      <w:r>
        <w:rPr>
          <w:rFonts w:ascii="Calibri" w:hAnsi="Calibri" w:cs="Calibri" w:eastAsia="Calibri"/>
          <w:sz w:val="22"/>
        </w:rPr>
        <w:t>The number of neighbours SMOTE looks at (</w:t>
      </w:r>
      <w:r>
        <w:rPr>
          <w:rFonts w:ascii="Consolas" w:hAnsi="Consolas" w:cs="Consolas" w:eastAsia="Consolas"/>
          <w:sz w:val="20"/>
        </w:rPr>
        <w:t>k_neighbors</w:t>
      </w:r>
      <w:r>
        <w:rPr>
          <w:rFonts w:ascii="Calibri" w:hAnsi="Calibri" w:cs="Calibri" w:eastAsia="Calibri"/>
          <w:sz w:val="22"/>
        </w:rPr>
        <w:t>) cannot be larger than the number of real minority examples available in the training fold. We set it per target with this rule: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accounts for the fact that in 5-fold cross-validation only 4/5 of the data goes into training. The </w:t>
      </w:r>
      <w:r>
        <w:rPr>
          <w:rFonts w:ascii="Consolas" w:hAnsi="Consolas" w:cs="Consolas" w:eastAsia="Consolas"/>
          <w:sz w:val="20"/>
        </w:rPr>
        <w:t>max(1, ...)</w:t>
      </w:r>
      <w:r>
        <w:rPr>
          <w:rFonts w:ascii="Calibri" w:hAnsi="Calibri" w:cs="Calibri" w:eastAsia="Calibri"/>
          <w:sz w:val="22"/>
        </w:rPr>
        <w:t xml:space="preserve"> floor keeps </w:t>
      </w:r>
      <w:r>
        <w:rPr>
          <w:rFonts w:ascii="Consolas" w:hAnsi="Consolas" w:cs="Consolas" w:eastAsia="Consolas"/>
          <w:sz w:val="20"/>
        </w:rPr>
        <w:t>k_neighbors</w:t>
      </w:r>
      <w:r>
        <w:rPr>
          <w:rFonts w:ascii="Calibri" w:hAnsi="Calibri" w:cs="Calibri" w:eastAsia="Calibri"/>
          <w:sz w:val="22"/>
        </w:rPr>
        <w:t xml:space="preserve"> at least 1 even when the minority class is tiny.</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Every candidate algorithm gets wrapped in a two-step pipeline: first SMOTE, then the classifier itself. Wrapping like this means both steps are applied together every time cross-validation runs:</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the grid search. The </w:t>
      </w:r>
      <w:r>
        <w:rPr>
          <w:rFonts w:ascii="Consolas" w:hAnsi="Consolas" w:cs="Consolas" w:eastAsia="Consolas"/>
          <w:sz w:val="20"/>
        </w:rPr>
        <w:t>clf__C</w:t>
      </w:r>
      <w:r>
        <w:rPr>
          <w:rFonts w:ascii="Calibri" w:hAnsi="Calibri" w:cs="Calibri" w:eastAsia="Calibri"/>
          <w:sz w:val="22"/>
        </w:rPr>
        <w:t xml:space="preserve"> and </w:t>
      </w:r>
      <w:r>
        <w:rPr>
          <w:rFonts w:ascii="Consolas" w:hAnsi="Consolas" w:cs="Consolas" w:eastAsia="Consolas"/>
          <w:sz w:val="20"/>
        </w:rPr>
        <w:t>clf__max_depth</w:t>
      </w:r>
      <w:r>
        <w:rPr>
          <w:rFonts w:ascii="Calibri" w:hAnsi="Calibri" w:cs="Calibri" w:eastAsia="Calibri"/>
          <w:sz w:val="22"/>
        </w:rPr>
        <w:t xml:space="preserve"> style prefixes tell the search to apply each hyperparameter to the </w:t>
      </w:r>
      <w:r>
        <w:rPr>
          <w:rFonts w:ascii="Consolas" w:hAnsi="Consolas" w:cs="Consolas" w:eastAsia="Consolas"/>
          <w:sz w:val="20"/>
        </w:rPr>
        <w:t>clf</w:t>
      </w:r>
      <w:r>
        <w:rPr>
          <w:rFonts w:ascii="Calibri" w:hAnsi="Calibri" w:cs="Calibri" w:eastAsia="Calibri"/>
          <w:sz w:val="22"/>
        </w:rPr>
        <w:t xml:space="preserve"> step, not the SMOTE step.</w:t>
      </w:r>
    </w:p>
    <w:p>
      <w:pPr>
        <w:keepNext/>
        <w:spacing w:before="240" w:after="80"/>
      </w:pPr>
      <w:r>
        <w:rPr>
          <w:rFonts w:ascii="Calibri" w:hAnsi="Calibri" w:cs="Calibri" w:eastAsia="Calibri"/>
          <w:b/>
          <w:color w:val="2E86AB"/>
          <w:sz w:val="24"/>
        </w:rPr>
        <w:t>10.6 Cross-validation strategy</w:t>
      </w:r>
    </w:p>
    <w:p>
      <w:pPr>
        <w:spacing w:after="160"/>
      </w:pPr>
      <w:r>
        <w:rPr>
          <w:rFonts w:ascii="Calibri" w:hAnsi="Calibri" w:cs="Calibri" w:eastAsia="Calibri"/>
          <w:sz w:val="22"/>
        </w:rPr>
        <w:t>Cross-validation is how we test the model honestly. We split the 182 riders into 5 groups, then repeat the same training-and-testing procedure 5 times, so that each group serves once as the test set. The split (</w:t>
      </w:r>
      <w:r>
        <w:rPr>
          <w:rFonts w:ascii="Consolas" w:hAnsi="Consolas" w:cs="Consolas" w:eastAsia="Consolas"/>
          <w:sz w:val="20"/>
        </w:rPr>
        <w:t>StratifiedKFold(n_splits=5, shuffle=True, random_state=42)</w:t>
      </w:r>
      <w:r>
        <w:rPr>
          <w:rFonts w:ascii="Calibri" w:hAnsi="Calibri" w:cs="Calibri" w:eastAsia="Calibri"/>
          <w:sz w:val="22"/>
        </w:rPr>
        <w:t>) keeps the Low/Medium/High proportions roughly the same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alibri" w:hAnsi="Calibri" w:cs="Calibri" w:eastAsia="Calibri"/>
          <w:sz w:val="22"/>
        </w:rPr>
        <w:t xml:space="preserve">Each algorithm has knobs (hyperparameters) that affect how it learns. </w:t>
      </w:r>
      <w:r>
        <w:rPr>
          <w:rFonts w:ascii="Consolas" w:hAnsi="Consolas" w:cs="Consolas" w:eastAsia="Consolas"/>
          <w:sz w:val="20"/>
        </w:rPr>
        <w:t>GridSearchCV</w:t>
      </w:r>
      <w:r>
        <w:rPr>
          <w:rFonts w:ascii="Calibri" w:hAnsi="Calibri" w:cs="Calibri" w:eastAsia="Calibri"/>
          <w:sz w:val="22"/>
        </w:rPr>
        <w:t xml:space="preserve"> tries every combination in the small grids defined above and reports the best. It is run with these settings:</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just reports the best parameters without immediately retraining. We then explicitly refit the pipeline with those parameters inside a separate </w:t>
      </w:r>
      <w:r>
        <w:rPr>
          <w:rFonts w:ascii="Consolas" w:hAnsi="Consolas" w:cs="Consolas" w:eastAsia="Consolas"/>
          <w:sz w:val="20"/>
        </w:rPr>
        <w:t>cross_validate</w:t>
      </w:r>
      <w:r>
        <w:rPr>
          <w:rFonts w:ascii="Calibri" w:hAnsi="Calibri" w:cs="Calibri" w:eastAsia="Calibri"/>
          <w:sz w:val="22"/>
        </w:rPr>
        <w:t xml:space="preserve"> run that records the full set of metrics we want to report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risk factor we pick the algorithm with the highest </w:t>
      </w:r>
      <w:r>
        <w:rPr>
          <w:rFonts w:ascii="Consolas" w:hAnsi="Consolas" w:cs="Consolas" w:eastAsia="Consolas"/>
          <w:sz w:val="20"/>
        </w:rPr>
        <w:t>cv_f1_macro</w:t>
      </w:r>
      <w:r>
        <w:rPr>
          <w:rFonts w:ascii="Calibri" w:hAnsi="Calibri" w:cs="Calibri" w:eastAsia="Calibri"/>
          <w:sz w:val="22"/>
        </w:rPr>
        <w:t xml:space="preserve">. We then refit the chosen pipeline on the entire 182-row sample (with SMOTE </w:t>
      </w:r>
      <w:r>
        <w:rPr>
          <w:rFonts w:ascii="Consolas" w:hAnsi="Consolas" w:cs="Consolas" w:eastAsia="Consolas"/>
          <w:sz w:val="20"/>
        </w:rPr>
        <w:t>k_neighbors</w:t>
      </w:r>
      <w:r>
        <w:rPr>
          <w:rFonts w:ascii="Calibri" w:hAnsi="Calibri" w:cs="Calibri" w:eastAsia="Calibri"/>
          <w:sz w:val="22"/>
        </w:rPr>
        <w:t xml:space="preserve"> recomputed against the full class distribution) and save it to disk so the web app can load it later. The saved file is a dict with three keys:</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the predict-time code uses to assemble the input vector in the correct order. The </w:t>
      </w:r>
      <w:r>
        <w:rPr>
          <w:rFonts w:ascii="Consolas" w:hAnsi="Consolas" w:cs="Consolas" w:eastAsia="Consolas"/>
          <w:sz w:val="20"/>
        </w:rPr>
        <w:t>classes</w:t>
      </w:r>
      <w:r>
        <w:rPr>
          <w:rFonts w:ascii="Calibri" w:hAnsi="Calibri" w:cs="Calibri" w:eastAsia="Calibri"/>
          <w:sz w:val="22"/>
        </w:rPr>
        <w:t xml:space="preserve"> list maps the model's internal class index back to the original 0/1/2 Low/Medium/High codes. This matters specifically for the Posture model because its </w:t>
      </w:r>
      <w:r>
        <w:rPr>
          <w:rFonts w:ascii="Consolas" w:hAnsi="Consolas" w:cs="Consolas" w:eastAsia="Consolas"/>
          <w:sz w:val="20"/>
        </w:rPr>
        <w:t>classes</w:t>
      </w:r>
      <w:r>
        <w:rPr>
          <w:rFonts w:ascii="Calibri" w:hAnsi="Calibri" w:cs="Calibri" w:eastAsia="Calibri"/>
          <w:sz w:val="22"/>
        </w:rPr>
        <w:t xml:space="preserve"> list is </w:t>
      </w:r>
      <w:r>
        <w:rPr>
          <w:rFonts w:ascii="Consolas" w:hAnsi="Consolas" w:cs="Consolas" w:eastAsia="Consolas"/>
          <w:sz w:val="20"/>
        </w:rPr>
        <w:t>[1, 2]</w:t>
      </w:r>
      <w:r>
        <w:rPr>
          <w:rFonts w:ascii="Calibri" w:hAnsi="Calibri" w:cs="Calibri" w:eastAsia="Calibri"/>
          <w:sz w:val="22"/>
        </w:rPr>
        <w:t xml:space="preserve"> only (no Low class exists in the data).</w:t>
      </w: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also saves three CSV tables so we can look at the numbers behind the model selection later:</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Metric definitions</w:t>
      </w:r>
    </w:p>
    <w:p>
      <w:pPr>
        <w:spacing w:after="160"/>
      </w:pPr>
      <w:r>
        <w:rPr>
          <w:rFonts w:ascii="Calibri" w:hAnsi="Calibri" w:cs="Calibri" w:eastAsia="Calibri"/>
          <w:sz w:val="22"/>
        </w:rPr>
        <w:t xml:space="preserve">Several different numbers are used to judge how well a model works because no single number tells the whole story. For each class </w:t>
      </w:r>
      <w:r>
        <w:rPr>
          <w:rFonts w:ascii="Consolas" w:hAnsi="Consolas" w:cs="Consolas" w:eastAsia="Consolas"/>
          <w:sz w:val="20"/>
        </w:rPr>
        <w:t>c</w:t>
      </w:r>
      <w:r>
        <w:rPr>
          <w:rFonts w:ascii="Calibri" w:hAnsi="Calibri" w:cs="Calibri" w:eastAsia="Calibri"/>
          <w:sz w:val="22"/>
        </w:rPr>
        <w:t xml:space="preserve"> in a target, treating class </w:t>
      </w:r>
      <w:r>
        <w:rPr>
          <w:rFonts w:ascii="Consolas" w:hAnsi="Consolas" w:cs="Consolas" w:eastAsia="Consolas"/>
          <w:sz w:val="20"/>
        </w:rPr>
        <w:t>c</w:t>
      </w:r>
      <w:r>
        <w:rPr>
          <w:rFonts w:ascii="Calibri" w:hAnsi="Calibri" w:cs="Calibri" w:eastAsia="Calibri"/>
          <w:sz w:val="22"/>
        </w:rPr>
        <w:t xml:space="preserve"> as positive and all others as negative, we count true positives, false positives, and false negatives:</w:t>
      </w:r>
    </w:p>
    <w:p>
      <w:pPr>
        <w:spacing w:before="0" w:after="0"/>
        <w:ind w:left="340"/>
      </w:pPr>
      <w:r>
        <w:rPr>
          <w:rFonts w:ascii="Consolas" w:hAnsi="Consolas" w:cs="Consolas" w:eastAsia="Consolas"/>
          <w:color w:val="222222"/>
          <w:sz w:val="19"/>
        </w:rPr>
        <w:t>precision_c = TP_c / (TP_c + FP_c)</w:t>
      </w:r>
    </w:p>
    <w:p>
      <w:pPr>
        <w:spacing w:before="0" w:after="0"/>
        <w:ind w:left="340"/>
      </w:pPr>
      <w:r>
        <w:rPr>
          <w:rFonts w:ascii="Consolas" w:hAnsi="Consolas" w:cs="Consolas" w:eastAsia="Consolas"/>
          <w:color w:val="222222"/>
          <w:sz w:val="19"/>
        </w:rPr>
        <w:t>recall_c    = TP_c / (TP_c + FN_c)</w:t>
      </w:r>
    </w:p>
    <w:p>
      <w:pPr>
        <w:spacing w:before="0" w:after="0"/>
        <w:ind w:left="340"/>
      </w:pPr>
      <w:r>
        <w:rPr>
          <w:rFonts w:ascii="Consolas" w:hAnsi="Consolas" w:cs="Consolas" w:eastAsia="Consolas"/>
          <w:color w:val="222222"/>
          <w:sz w:val="19"/>
        </w:rPr>
        <w:t>F1_c        = 2 * precision_c * recall_c / (precision_c + recall_c)</w:t>
      </w:r>
    </w:p>
    <w:p>
      <w:pPr>
        <w:spacing w:after="120"/>
      </w:pPr>
    </w:p>
    <w:p>
      <w:pPr>
        <w:spacing w:after="160"/>
      </w:pPr>
      <w:r>
        <w:rPr>
          <w:rFonts w:ascii="Calibri" w:hAnsi="Calibri" w:cs="Calibri" w:eastAsia="Calibri"/>
          <w:sz w:val="22"/>
        </w:rPr>
        <w:t>Precision asks "of the riders the model said were in class c, what fraction actually were". Recall asks "of the riders who actually were in class c, what fraction did the model catch". F1 combines both into a single number.</w:t>
      </w:r>
    </w:p>
    <w:p>
      <w:pPr>
        <w:spacing w:after="160"/>
      </w:pPr>
      <w:r>
        <w:rPr>
          <w:rFonts w:ascii="Calibri" w:hAnsi="Calibri" w:cs="Calibri" w:eastAsia="Calibri"/>
          <w:sz w:val="22"/>
        </w:rPr>
        <w:t>Macro-averaged scores treat each class equally, so a model that ignores the Medium or High band cannot hide behind raw accuracy:</w:t>
      </w:r>
    </w:p>
    <w:p>
      <w:pPr>
        <w:spacing w:before="0" w:after="0"/>
        <w:ind w:left="340"/>
      </w:pPr>
      <w:r>
        <w:rPr>
          <w:rFonts w:ascii="Consolas" w:hAnsi="Consolas" w:cs="Consolas" w:eastAsia="Consolas"/>
          <w:color w:val="222222"/>
          <w:sz w:val="19"/>
        </w:rPr>
        <w:t>precision_macro = mean over c of precision_c</w:t>
      </w:r>
    </w:p>
    <w:p>
      <w:pPr>
        <w:spacing w:before="0" w:after="0"/>
        <w:ind w:left="340"/>
      </w:pPr>
      <w:r>
        <w:rPr>
          <w:rFonts w:ascii="Consolas" w:hAnsi="Consolas" w:cs="Consolas" w:eastAsia="Consolas"/>
          <w:color w:val="222222"/>
          <w:sz w:val="19"/>
        </w:rPr>
        <w:t>recall_macro    = mean over c of recall_c</w:t>
      </w:r>
    </w:p>
    <w:p>
      <w:pPr>
        <w:spacing w:before="0" w:after="0"/>
        <w:ind w:left="340"/>
      </w:pPr>
      <w:r>
        <w:rPr>
          <w:rFonts w:ascii="Consolas" w:hAnsi="Consolas" w:cs="Consolas" w:eastAsia="Consolas"/>
          <w:color w:val="222222"/>
          <w:sz w:val="19"/>
        </w:rPr>
        <w:t>F1_macro        = mean over c of F1_c</w:t>
      </w:r>
    </w:p>
    <w:p>
      <w:pPr>
        <w:spacing w:after="120"/>
      </w:pPr>
    </w:p>
    <w:p>
      <w:pPr>
        <w:spacing w:after="160"/>
      </w:pPr>
      <w:r>
        <w:rPr>
          <w:rFonts w:ascii="Calibri" w:hAnsi="Calibri" w:cs="Calibri" w:eastAsia="Calibri"/>
          <w:sz w:val="22"/>
        </w:rPr>
        <w:t xml:space="preserve">F1 macro is what </w:t>
      </w:r>
      <w:r>
        <w:rPr>
          <w:rFonts w:ascii="Consolas" w:hAnsi="Consolas" w:cs="Consolas" w:eastAsia="Consolas"/>
          <w:sz w:val="20"/>
        </w:rPr>
        <w:t>GridSearchCV</w:t>
      </w:r>
      <w:r>
        <w:rPr>
          <w:rFonts w:ascii="Calibri" w:hAnsi="Calibri" w:cs="Calibri" w:eastAsia="Calibri"/>
          <w:sz w:val="22"/>
        </w:rPr>
        <w:t xml:space="preserve"> optimises during model selection for exactly this reason: it punishes a model that gets the majority right while ignoring the minorities.</w:t>
      </w:r>
    </w:p>
    <w:p>
      <w:pPr>
        <w:spacing w:after="160"/>
      </w:pPr>
      <w:r>
        <w:rPr>
          <w:rFonts w:ascii="Calibri" w:hAnsi="Calibri" w:cs="Calibri" w:eastAsia="Calibri"/>
          <w:sz w:val="22"/>
        </w:rPr>
        <w:t>Raw accuracy is the simplest measure, the share of predictions that match the true label:</w:t>
      </w:r>
    </w:p>
    <w:p>
      <w:pPr>
        <w:spacing w:before="0" w:after="0"/>
        <w:ind w:left="340"/>
      </w:pPr>
      <w:r>
        <w:rPr>
          <w:rFonts w:ascii="Consolas" w:hAnsi="Consolas" w:cs="Consolas" w:eastAsia="Consolas"/>
          <w:color w:val="222222"/>
          <w:sz w:val="19"/>
        </w:rPr>
        <w:t>accuracy = correct_predictions / total_predictions</w:t>
      </w:r>
    </w:p>
    <w:p>
      <w:pPr>
        <w:spacing w:after="120"/>
      </w:pPr>
    </w:p>
    <w:p>
      <w:pPr>
        <w:spacing w:after="160"/>
      </w:pPr>
      <w:r>
        <w:rPr>
          <w:rFonts w:ascii="Calibri" w:hAnsi="Calibri" w:cs="Calibri" w:eastAsia="Calibri"/>
          <w:sz w:val="22"/>
        </w:rPr>
        <w:t xml:space="preserve">We also track the gap between training accuracy and cross- validation accuracy. If a model fits training data well but tests poorly, it has overfit. The </w:t>
      </w:r>
      <w:r>
        <w:rPr>
          <w:rFonts w:ascii="Consolas" w:hAnsi="Consolas" w:cs="Consolas" w:eastAsia="Consolas"/>
          <w:sz w:val="20"/>
        </w:rPr>
        <w:t>overfit_gap = train_accuracy - cv_accuracy</w:t>
      </w:r>
      <w:r>
        <w:rPr>
          <w:rFonts w:ascii="Calibri" w:hAnsi="Calibri" w:cs="Calibri" w:eastAsia="Calibri"/>
          <w:sz w:val="22"/>
        </w:rPr>
        <w:t xml:space="preserve"> column flags this; we mark any factor with </w:t>
      </w:r>
      <w:r>
        <w:rPr>
          <w:rFonts w:ascii="Consolas" w:hAnsi="Consolas" w:cs="Consolas" w:eastAsia="Consolas"/>
          <w:sz w:val="20"/>
        </w:rPr>
        <w:t>overfit_gap &gt; 0.15</w:t>
      </w:r>
      <w:r>
        <w:rPr>
          <w:rFonts w:ascii="Calibri" w:hAnsi="Calibri" w:cs="Calibri" w:eastAsia="Calibri"/>
          <w:sz w:val="22"/>
        </w:rPr>
        <w:t xml:space="preserve"> in </w:t>
      </w:r>
      <w:r>
        <w:rPr>
          <w:rFonts w:ascii="Consolas" w:hAnsi="Consolas" w:cs="Consolas" w:eastAsia="Consolas"/>
          <w:sz w:val="20"/>
        </w:rPr>
        <w:t>phase6_summary.csv</w:t>
      </w:r>
      <w:r>
        <w:rPr>
          <w:rFonts w:ascii="Calibri" w:hAnsi="Calibri" w:cs="Calibri" w:eastAsia="Calibri"/>
          <w:sz w:val="22"/>
        </w:rPr>
        <w:t>.</w:t>
      </w:r>
    </w:p>
    <w:p>
      <w:pPr>
        <w:spacing w:after="160"/>
      </w:pPr>
      <w:r>
        <w:rPr>
          <w:rFonts w:ascii="Calibri" w:hAnsi="Calibri" w:cs="Calibri" w:eastAsia="Calibri"/>
          <w:sz w:val="22"/>
        </w:rPr>
        <w:t>ROC-AUC (Area Under the Receiver Operating Characteristic Curve) measures how well a model ranks classes rather than how often it gets the exact threshold right. AUC is the probability that a randomly chosen positive case gets a higher predicted score than a randomly chosen negative case. A perfect ranker scores 1.0, a coin flip scores 0.5. The Mann-Whitney U statistic gives a closed-form equivalent. We compute per-class AUC in a one-vs-rest setup and report the macro AUC as the unweighted mean across classes.</w:t>
      </w:r>
    </w:p>
    <w:p>
      <w:pPr>
        <w:keepNext/>
        <w:spacing w:before="240" w:after="80"/>
      </w:pPr>
      <w:r>
        <w:rPr>
          <w:rFonts w:ascii="Calibri" w:hAnsi="Calibri" w:cs="Calibri" w:eastAsia="Calibri"/>
          <w:b/>
          <w:color w:val="2E86AB"/>
          <w:sz w:val="24"/>
        </w:rPr>
        <w:t>11.2 Confusion matrices</w:t>
      </w:r>
    </w:p>
    <w:p>
      <w:pPr>
        <w:spacing w:after="160"/>
      </w:pPr>
      <w:r>
        <w:rPr>
          <w:rFonts w:ascii="Calibri" w:hAnsi="Calibri" w:cs="Calibri" w:eastAsia="Calibri"/>
          <w:sz w:val="22"/>
        </w:rPr>
        <w:t>A confusion matrix is the simplest way to see where a model gets things right and where it gets things wrong. Each row is a true class, each column is a predicted class, and each cell counts the riders. The diagonal counts the correct predictions; everything off-diagonal is a mistake.</w:t>
      </w:r>
    </w:p>
    <w:p>
      <w:pPr>
        <w:spacing w:after="160"/>
      </w:pPr>
      <w:r>
        <w:rPr>
          <w:rFonts w:ascii="Calibri" w:hAnsi="Calibri" w:cs="Calibri" w:eastAsia="Calibri"/>
          <w:sz w:val="22"/>
        </w:rPr>
        <w:t xml:space="preserve">We build one with </w:t>
      </w:r>
      <w:r>
        <w:rPr>
          <w:rFonts w:ascii="Consolas" w:hAnsi="Consolas" w:cs="Consolas" w:eastAsia="Consolas"/>
          <w:sz w:val="20"/>
        </w:rPr>
        <w:t>sklearn.metrics.confusion_matrix(y_true, y_pred, labels=present_codes)</w:t>
      </w:r>
      <w:r>
        <w:rPr>
          <w:rFonts w:ascii="Calibri" w:hAnsi="Calibri" w:cs="Calibri" w:eastAsia="Calibri"/>
          <w:sz w:val="22"/>
        </w:rPr>
        <w:t xml:space="preserve"> per target.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(one per target). The same numbers in long form are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11.3 Classification reports</w:t>
      </w:r>
    </w:p>
    <w:p>
      <w:pPr>
        <w:spacing w:after="160"/>
      </w:pPr>
      <w:r>
        <w:rPr>
          <w:rFonts w:ascii="Calibri" w:hAnsi="Calibri" w:cs="Calibri" w:eastAsia="Calibri"/>
          <w:sz w:val="22"/>
        </w:rPr>
        <w:t xml:space="preserve">The classification report sums up precision, recall, F1, and support (the number of true cases) for each class, along with macro and weighted averages. We generate it with </w:t>
      </w: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and save the long-form table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11.4 ROC curves and macro AUC</w:t>
      </w:r>
    </w:p>
    <w:p>
      <w:pPr>
        <w:spacing w:after="160"/>
      </w:pPr>
      <w:r>
        <w:rPr>
          <w:rFonts w:ascii="Calibri" w:hAnsi="Calibri" w:cs="Calibri" w:eastAsia="Calibri"/>
          <w:sz w:val="22"/>
        </w:rPr>
        <w:t xml:space="preserve">For each target, the best model is wrapped in a one-vs-rest setup so each class gets its own ROC curve. We compute the predicted probabilities with </w:t>
      </w:r>
      <w:r>
        <w:rPr>
          <w:rFonts w:ascii="Consolas" w:hAnsi="Consolas" w:cs="Consolas" w:eastAsia="Consolas"/>
          <w:sz w:val="20"/>
        </w:rPr>
        <w:t>cross_val_predict</w:t>
      </w:r>
      <w:r>
        <w:rPr>
          <w:rFonts w:ascii="Calibri" w:hAnsi="Calibri" w:cs="Calibri" w:eastAsia="Calibri"/>
          <w:sz w:val="22"/>
        </w:rPr>
        <w:t xml:space="preserve"> and </w:t>
      </w:r>
      <w:r>
        <w:rPr>
          <w:rFonts w:ascii="Consolas" w:hAnsi="Consolas" w:cs="Consolas" w:eastAsia="Consolas"/>
          <w:sz w:val="20"/>
        </w:rPr>
        <w:t>method='predict_proba'</w:t>
      </w:r>
      <w:r>
        <w:rPr>
          <w:rFonts w:ascii="Calibri" w:hAnsi="Calibri" w:cs="Calibri" w:eastAsia="Calibri"/>
          <w:sz w:val="22"/>
        </w:rPr>
        <w:t>, then build the curve and area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The per-class AUC is saved to </w:t>
      </w:r>
      <w:r>
        <w:rPr>
          <w:rFonts w:ascii="Consolas" w:hAnsi="Consolas" w:cs="Consolas" w:eastAsia="Consolas"/>
          <w:sz w:val="20"/>
        </w:rPr>
        <w:t>outputs/tables/roc_auc.csv</w:t>
      </w:r>
      <w:r>
        <w:rPr>
          <w:rFonts w:ascii="Calibri" w:hAnsi="Calibri" w:cs="Calibri" w:eastAsia="Calibri"/>
          <w:sz w:val="22"/>
        </w:rPr>
        <w:t xml:space="preserve">. The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every class for every target in a 2x3 grid; the closer a curve hugs the top-left corner, the better that class is being ranked.</w:t>
      </w:r>
    </w:p>
    <w:p>
      <w:pPr>
        <w:keepNext/>
        <w:spacing w:before="240" w:after="80"/>
      </w:pPr>
      <w:r>
        <w:rPr>
          <w:rFonts w:ascii="Calibri" w:hAnsi="Calibri" w:cs="Calibri" w:eastAsia="Calibri"/>
          <w:b/>
          <w:color w:val="2E86AB"/>
          <w:sz w:val="24"/>
        </w:rPr>
        <w:t>11.5 Feature importance</w:t>
      </w:r>
    </w:p>
    <w:p>
      <w:pPr>
        <w:spacing w:after="160"/>
      </w:pPr>
      <w:r>
        <w:rPr>
          <w:rFonts w:ascii="Calibri" w:hAnsi="Calibri" w:cs="Calibri" w:eastAsia="Calibri"/>
          <w:sz w:val="22"/>
        </w:rPr>
        <w:t xml:space="preserve">Feature importance tells us which inputs each model leans on most. For tree-based models (Random Forest, Extra Trees, Hist Gradient Boosting, XGBoost) we read it from </w:t>
      </w:r>
      <w:r>
        <w:rPr>
          <w:rFonts w:ascii="Consolas" w:hAnsi="Consolas" w:cs="Consolas" w:eastAsia="Consolas"/>
          <w:sz w:val="20"/>
        </w:rPr>
        <w:t>clf.feature_importances_</w:t>
      </w:r>
      <w:r>
        <w:rPr>
          <w:rFonts w:ascii="Calibri" w:hAnsi="Calibri" w:cs="Calibri" w:eastAsia="Calibri"/>
          <w:sz w:val="22"/>
        </w:rPr>
        <w:t>. For Logistic Regression we use the absolute value of the coefficients (</w:t>
      </w:r>
      <w:r>
        <w:rPr>
          <w:rFonts w:ascii="Consolas" w:hAnsi="Consolas" w:cs="Consolas" w:eastAsia="Consolas"/>
          <w:sz w:val="20"/>
        </w:rPr>
        <w:t>abs(clf.coef_)</w:t>
      </w:r>
      <w:r>
        <w:rPr>
          <w:rFonts w:ascii="Calibri" w:hAnsi="Calibri" w:cs="Calibri" w:eastAsia="Calibri"/>
          <w:sz w:val="22"/>
        </w:rPr>
        <w:t xml:space="preserve">). For Stacking the importance is taken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shows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before="160" w:after="40"/>
        <w:jc w:val="center"/>
      </w:pPr>
      <w:r>
        <w:drawing>
          <wp:inline xmlns:a="http://schemas.openxmlformats.org/drawingml/2006/main" xmlns:pic="http://schemas.openxmlformats.org/drawingml/2006/picture">
            <wp:extent cx="5400000" cy="2859180"/>
            <wp:docPr id="1" name="Picture 1"/>
            <wp:cNvGraphicFramePr>
              <a:graphicFrameLocks noChangeAspect="1"/>
            </wp:cNvGraphicFramePr>
            <a:graphic>
              <a:graphicData uri="http://schemas.openxmlformats.org/drawingml/2006/picture">
                <pic:pic>
                  <pic:nvPicPr>
                    <pic:cNvPr id="0" name="demographics.png"/>
                    <pic:cNvPicPr/>
                  </pic:nvPicPr>
                  <pic:blipFill>
                    <a:blip r:embed="rId9"/>
                    <a:stretch>
                      <a:fillRect/>
                    </a:stretch>
                  </pic:blipFill>
                  <pic:spPr>
                    <a:xfrm>
                      <a:off x="0" y="0"/>
                      <a:ext cx="5400000" cy="2859180"/>
                    </a:xfrm>
                    <a:prstGeom prst="rect"/>
                  </pic:spPr>
                </pic:pic>
              </a:graphicData>
            </a:graphic>
          </wp:inline>
        </w:drawing>
      </w:r>
    </w:p>
    <w:p>
      <w:pPr>
        <w:spacing w:after="200"/>
        <w:jc w:val="center"/>
      </w:pPr>
      <w:r>
        <w:rPr>
          <w:rFonts w:ascii="Calibri" w:hAnsi="Calibri" w:cs="Calibri" w:eastAsia="Calibri"/>
          <w:i/>
          <w:color w:val="555555"/>
          <w:sz w:val="20"/>
        </w:rPr>
        <w:t>Figure 1. Sample profile across gender, age band, delivery platform, vehicle type, and carrying mode.</w:t>
      </w:r>
    </w:p>
    <w:p>
      <w:pPr>
        <w:spacing w:after="160"/>
      </w:pPr>
      <w:r>
        <w:rPr>
          <w:rFonts w:ascii="Calibri" w:hAnsi="Calibri" w:cs="Calibri" w:eastAsia="Calibri"/>
          <w:sz w:val="22"/>
        </w:rPr>
        <w:t>84.6 percent of the riders reported pain in at least one body area in the last 12 months.</w:t>
      </w:r>
    </w:p>
    <w:p>
      <w:pPr>
        <w:spacing w:after="160"/>
      </w:pPr>
      <w:r>
        <w:rPr>
          <w:rFonts w:ascii="Calibri" w:hAnsi="Calibri" w:cs="Calibri" w:eastAsia="Calibri"/>
          <w:b/>
          <w:sz w:val="22"/>
        </w:rPr>
        <w:t>Table 4. NMQ 12-month pain prevalence per body area.</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spacing w:before="160" w:after="40"/>
        <w:jc w:val="center"/>
      </w:pPr>
      <w:r>
        <w:drawing>
          <wp:inline xmlns:a="http://schemas.openxmlformats.org/drawingml/2006/main" xmlns:pic="http://schemas.openxmlformats.org/drawingml/2006/picture">
            <wp:extent cx="5400000" cy="2970000"/>
            <wp:docPr id="2" name="Picture 2"/>
            <wp:cNvGraphicFramePr>
              <a:graphicFrameLocks noChangeAspect="1"/>
            </wp:cNvGraphicFramePr>
            <a:graphic>
              <a:graphicData uri="http://schemas.openxmlformats.org/drawingml/2006/picture">
                <pic:pic>
                  <pic:nvPicPr>
                    <pic:cNvPr id="0" name="nordic_prevalence.png"/>
                    <pic:cNvPicPr/>
                  </pic:nvPicPr>
                  <pic:blipFill>
                    <a:blip r:embed="rId10"/>
                    <a:stretch>
                      <a:fillRect/>
                    </a:stretch>
                  </pic:blipFill>
                  <pic:spPr>
                    <a:xfrm>
                      <a:off x="0" y="0"/>
                      <a:ext cx="5400000" cy="2970000"/>
                    </a:xfrm>
                    <a:prstGeom prst="rect"/>
                  </pic:spPr>
                </pic:pic>
              </a:graphicData>
            </a:graphic>
          </wp:inline>
        </w:drawing>
      </w:r>
    </w:p>
    <w:p>
      <w:pPr>
        <w:spacing w:after="200"/>
        <w:jc w:val="center"/>
      </w:pPr>
      <w:r>
        <w:rPr>
          <w:rFonts w:ascii="Calibri" w:hAnsi="Calibri" w:cs="Calibri" w:eastAsia="Calibri"/>
          <w:i/>
          <w:color w:val="555555"/>
          <w:sz w:val="20"/>
        </w:rPr>
        <w:t>Figure 2. NMQ 12-month pain prevalence per body area, sorted by frequency.</w:t>
      </w:r>
    </w:p>
    <w:p>
      <w:pPr>
        <w:spacing w:before="160" w:after="40"/>
        <w:jc w:val="center"/>
      </w:pPr>
      <w:r>
        <w:drawing>
          <wp:inline xmlns:a="http://schemas.openxmlformats.org/drawingml/2006/main" xmlns:pic="http://schemas.openxmlformats.org/drawingml/2006/picture">
            <wp:extent cx="5400000" cy="2829287"/>
            <wp:docPr id="3" name="Picture 3"/>
            <wp:cNvGraphicFramePr>
              <a:graphicFrameLocks noChangeAspect="1"/>
            </wp:cNvGraphicFramePr>
            <a:graphic>
              <a:graphicData uri="http://schemas.openxmlformats.org/drawingml/2006/picture">
                <pic:pic>
                  <pic:nvPicPr>
                    <pic:cNvPr id="0" name="discomfort_by_demographic.png"/>
                    <pic:cNvPicPr/>
                  </pic:nvPicPr>
                  <pic:blipFill>
                    <a:blip r:embed="rId11"/>
                    <a:stretch>
                      <a:fillRect/>
                    </a:stretch>
                  </pic:blipFill>
                  <pic:spPr>
                    <a:xfrm>
                      <a:off x="0" y="0"/>
                      <a:ext cx="5400000" cy="2829287"/>
                    </a:xfrm>
                    <a:prstGeom prst="rect"/>
                  </pic:spPr>
                </pic:pic>
              </a:graphicData>
            </a:graphic>
          </wp:inline>
        </w:drawing>
      </w:r>
    </w:p>
    <w:p>
      <w:pPr>
        <w:spacing w:after="200"/>
        <w:jc w:val="center"/>
      </w:pPr>
      <w:r>
        <w:rPr>
          <w:rFonts w:ascii="Calibri" w:hAnsi="Calibri" w:cs="Calibri" w:eastAsia="Calibri"/>
          <w:i/>
          <w:color w:val="555555"/>
          <w:sz w:val="20"/>
        </w:rPr>
        <w:t>Figure 3. Discomfort prevalence broken down by age, gender, vehicle, and carrying mode.</w:t>
      </w:r>
    </w:p>
    <w:p>
      <w:pPr>
        <w:keepNext/>
        <w:spacing w:before="240" w:after="80"/>
      </w:pPr>
      <w:r>
        <w:rPr>
          <w:rFonts w:ascii="Calibri" w:hAnsi="Calibri" w:cs="Calibri" w:eastAsia="Calibri"/>
          <w:b/>
          <w:color w:val="2E86AB"/>
          <w:sz w:val="24"/>
        </w:rPr>
        <w:t>12.1 Stage-1 risk distribution</w:t>
      </w:r>
    </w:p>
    <w:p>
      <w:pPr>
        <w:spacing w:after="160"/>
      </w:pPr>
      <w:r>
        <w:rPr>
          <w:rFonts w:ascii="Calibri" w:hAnsi="Calibri" w:cs="Calibri" w:eastAsia="Calibri"/>
          <w:b/>
          <w:sz w:val="22"/>
        </w:rPr>
        <w:t>Table 5. Stage-1 risk band counts per factor (n = 182).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spacing w:before="160" w:after="40"/>
        <w:jc w:val="center"/>
      </w:pPr>
      <w:r>
        <w:drawing>
          <wp:inline xmlns:a="http://schemas.openxmlformats.org/drawingml/2006/main" xmlns:pic="http://schemas.openxmlformats.org/drawingml/2006/picture">
            <wp:extent cx="5400000" cy="2415680"/>
            <wp:docPr id="4" name="Picture 4"/>
            <wp:cNvGraphicFramePr>
              <a:graphicFrameLocks noChangeAspect="1"/>
            </wp:cNvGraphicFramePr>
            <a:graphic>
              <a:graphicData uri="http://schemas.openxmlformats.org/drawingml/2006/picture">
                <pic:pic>
                  <pic:nvPicPr>
                    <pic:cNvPr id="0" name="risk_factor_distribution.png"/>
                    <pic:cNvPicPr/>
                  </pic:nvPicPr>
                  <pic:blipFill>
                    <a:blip r:embed="rId12"/>
                    <a:stretch>
                      <a:fillRect/>
                    </a:stretch>
                  </pic:blipFill>
                  <pic:spPr>
                    <a:xfrm>
                      <a:off x="0" y="0"/>
                      <a:ext cx="5400000" cy="2415680"/>
                    </a:xfrm>
                    <a:prstGeom prst="rect"/>
                  </pic:spPr>
                </pic:pic>
              </a:graphicData>
            </a:graphic>
          </wp:inline>
        </w:drawing>
      </w:r>
    </w:p>
    <w:p>
      <w:pPr>
        <w:spacing w:after="200"/>
        <w:jc w:val="center"/>
      </w:pPr>
      <w:r>
        <w:rPr>
          <w:rFonts w:ascii="Calibri" w:hAnsi="Calibri" w:cs="Calibri" w:eastAsia="Calibri"/>
          <w:i/>
          <w:color w:val="555555"/>
          <w:sz w:val="20"/>
        </w:rPr>
        <w:t>Figure 4. Stage-1 Low / Medium / High counts per risk factor.</w:t>
      </w:r>
    </w:p>
    <w:p>
      <w:pPr>
        <w:spacing w:before="160" w:after="40"/>
        <w:jc w:val="center"/>
      </w:pPr>
      <w:r>
        <w:drawing>
          <wp:inline xmlns:a="http://schemas.openxmlformats.org/drawingml/2006/main" xmlns:pic="http://schemas.openxmlformats.org/drawingml/2006/picture">
            <wp:extent cx="5400000" cy="2919820"/>
            <wp:docPr id="5" name="Picture 5"/>
            <wp:cNvGraphicFramePr>
              <a:graphicFrameLocks noChangeAspect="1"/>
            </wp:cNvGraphicFramePr>
            <a:graphic>
              <a:graphicData uri="http://schemas.openxmlformats.org/drawingml/2006/picture">
                <pic:pic>
                  <pic:nvPicPr>
                    <pic:cNvPr id="0" name="risk_vs_discomfort.png"/>
                    <pic:cNvPicPr/>
                  </pic:nvPicPr>
                  <pic:blipFill>
                    <a:blip r:embed="rId13"/>
                    <a:stretch>
                      <a:fillRect/>
                    </a:stretch>
                  </pic:blipFill>
                  <pic:spPr>
                    <a:xfrm>
                      <a:off x="0" y="0"/>
                      <a:ext cx="5400000" cy="2919820"/>
                    </a:xfrm>
                    <a:prstGeom prst="rect"/>
                  </pic:spPr>
                </pic:pic>
              </a:graphicData>
            </a:graphic>
          </wp:inline>
        </w:drawing>
      </w:r>
    </w:p>
    <w:p>
      <w:pPr>
        <w:spacing w:after="200"/>
        <w:jc w:val="center"/>
      </w:pPr>
      <w:r>
        <w:rPr>
          <w:rFonts w:ascii="Calibri" w:hAnsi="Calibri" w:cs="Calibri" w:eastAsia="Calibri"/>
          <w:i/>
          <w:color w:val="555555"/>
          <w:sz w:val="20"/>
        </w:rPr>
        <w:t>Figure 5. Discomfort prevalence within each Low / Medium / High band, per risk factor.</w:t>
      </w:r>
    </w:p>
    <w:p>
      <w:pPr>
        <w:spacing w:before="160" w:after="40"/>
        <w:jc w:val="center"/>
      </w:pPr>
      <w:r>
        <w:drawing>
          <wp:inline xmlns:a="http://schemas.openxmlformats.org/drawingml/2006/main" xmlns:pic="http://schemas.openxmlformats.org/drawingml/2006/picture">
            <wp:extent cx="5400000" cy="4882689"/>
            <wp:docPr id="6" name="Picture 6"/>
            <wp:cNvGraphicFramePr>
              <a:graphicFrameLocks noChangeAspect="1"/>
            </wp:cNvGraphicFramePr>
            <a:graphic>
              <a:graphicData uri="http://schemas.openxmlformats.org/drawingml/2006/picture">
                <pic:pic>
                  <pic:nvPicPr>
                    <pic:cNvPr id="0" name="correlation_heatmap.png"/>
                    <pic:cNvPicPr/>
                  </pic:nvPicPr>
                  <pic:blipFill>
                    <a:blip r:embed="rId14"/>
                    <a:stretch>
                      <a:fillRect/>
                    </a:stretch>
                  </pic:blipFill>
                  <pic:spPr>
                    <a:xfrm>
                      <a:off x="0" y="0"/>
                      <a:ext cx="5400000" cy="4882689"/>
                    </a:xfrm>
                    <a:prstGeom prst="rect"/>
                  </pic:spPr>
                </pic:pic>
              </a:graphicData>
            </a:graphic>
          </wp:inline>
        </w:drawing>
      </w:r>
    </w:p>
    <w:p>
      <w:pPr>
        <w:spacing w:after="200"/>
        <w:jc w:val="center"/>
      </w:pPr>
      <w:r>
        <w:rPr>
          <w:rFonts w:ascii="Calibri" w:hAnsi="Calibri" w:cs="Calibri" w:eastAsia="Calibri"/>
          <w:i/>
          <w:color w:val="555555"/>
          <w:sz w:val="20"/>
        </w:rPr>
        <w:t>Figure 6. Pearson correlation matrix across the numeric feature pool.</w:t>
      </w:r>
    </w:p>
    <w:p>
      <w:pPr>
        <w:keepNext/>
        <w:spacing w:before="240" w:after="80"/>
      </w:pPr>
      <w:r>
        <w:rPr>
          <w:rFonts w:ascii="Calibri" w:hAnsi="Calibri" w:cs="Calibri" w:eastAsia="Calibri"/>
          <w:b/>
          <w:color w:val="2E86AB"/>
          <w:sz w:val="24"/>
        </w:rPr>
        <w:t>12.2 Stage-2 model performance</w:t>
      </w:r>
    </w:p>
    <w:p>
      <w:pPr>
        <w:spacing w:after="160"/>
      </w:pPr>
      <w:r>
        <w:rPr>
          <w:rFonts w:ascii="Calibri" w:hAnsi="Calibri" w:cs="Calibri" w:eastAsia="Calibri"/>
          <w:b/>
          <w:sz w:val="22"/>
        </w:rPr>
        <w:t>Table 6. Best Stage-2 model per risk factor, 5-fold stratified CV.</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Macro 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spacing w:after="160"/>
      </w:pPr>
      <w:r>
        <w:rPr>
          <w:rFonts w:ascii="Calibri" w:hAnsi="Calibri" w:cs="Calibri" w:eastAsia="Calibri"/>
          <w:b/>
          <w:sz w:val="22"/>
        </w:rPr>
        <w:t>Table 7. Per-class ROC AUC (one-vs-rest) for the best model per factor.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0.798</w:t>
            </w:r>
          </w:p>
        </w:tc>
        <w:tc>
          <w:tcPr>
            <w:tcW w:type="dxa" w:w="2493"/>
          </w:tcPr>
          <w:p>
            <w:r/>
            <w:r>
              <w:rPr>
                <w:rFonts w:ascii="Calibri" w:hAnsi="Calibri" w:cs="Calibri" w:eastAsia="Calibri"/>
                <w:sz w:val="22"/>
              </w:rPr>
              <w:t>0.580</w:t>
            </w:r>
          </w:p>
        </w:tc>
        <w:tc>
          <w:tcPr>
            <w:tcW w:type="dxa" w:w="2493"/>
          </w:tcPr>
          <w:p>
            <w:r/>
            <w:r>
              <w:rPr>
                <w:rFonts w:ascii="Calibri" w:hAnsi="Calibri" w:cs="Calibri" w:eastAsia="Calibri"/>
                <w:sz w:val="22"/>
              </w:rPr>
              <w:t>0.760</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0.745</w:t>
            </w:r>
          </w:p>
        </w:tc>
        <w:tc>
          <w:tcPr>
            <w:tcW w:type="dxa" w:w="2493"/>
          </w:tcPr>
          <w:p>
            <w:r/>
            <w:r>
              <w:rPr>
                <w:rFonts w:ascii="Calibri" w:hAnsi="Calibri" w:cs="Calibri" w:eastAsia="Calibri"/>
                <w:sz w:val="22"/>
              </w:rPr>
              <w:t>0.669</w:t>
            </w:r>
          </w:p>
        </w:tc>
        <w:tc>
          <w:tcPr>
            <w:tcW w:type="dxa" w:w="2493"/>
          </w:tcPr>
          <w:p>
            <w:r/>
            <w:r>
              <w:rPr>
                <w:rFonts w:ascii="Calibri" w:hAnsi="Calibri" w:cs="Calibri" w:eastAsia="Calibri"/>
                <w:sz w:val="22"/>
              </w:rPr>
              <w:t>0.782</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0.822</w:t>
            </w:r>
          </w:p>
        </w:tc>
        <w:tc>
          <w:tcPr>
            <w:tcW w:type="dxa" w:w="2493"/>
          </w:tcPr>
          <w:p>
            <w:r/>
            <w:r>
              <w:rPr>
                <w:rFonts w:ascii="Calibri" w:hAnsi="Calibri" w:cs="Calibri" w:eastAsia="Calibri"/>
                <w:sz w:val="22"/>
              </w:rPr>
              <w:t>0.649</w:t>
            </w:r>
          </w:p>
        </w:tc>
        <w:tc>
          <w:tcPr>
            <w:tcW w:type="dxa" w:w="2493"/>
          </w:tcPr>
          <w:p>
            <w:r/>
            <w:r>
              <w:rPr>
                <w:rFonts w:ascii="Calibri" w:hAnsi="Calibri" w:cs="Calibri" w:eastAsia="Calibri"/>
                <w:sz w:val="22"/>
              </w:rPr>
              <w:t>0.797</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0.775</w:t>
            </w:r>
          </w:p>
        </w:tc>
        <w:tc>
          <w:tcPr>
            <w:tcW w:type="dxa" w:w="2493"/>
          </w:tcPr>
          <w:p>
            <w:r/>
            <w:r>
              <w:rPr>
                <w:rFonts w:ascii="Calibri" w:hAnsi="Calibri" w:cs="Calibri" w:eastAsia="Calibri"/>
                <w:sz w:val="22"/>
              </w:rPr>
              <w:t>0.615</w:t>
            </w:r>
          </w:p>
        </w:tc>
        <w:tc>
          <w:tcPr>
            <w:tcW w:type="dxa" w:w="2493"/>
          </w:tcPr>
          <w:p>
            <w:r/>
            <w:r>
              <w:rPr>
                <w:rFonts w:ascii="Calibri" w:hAnsi="Calibri" w:cs="Calibri" w:eastAsia="Calibri"/>
                <w:sz w:val="22"/>
              </w:rPr>
              <w:t>0.779</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0.763</w:t>
            </w:r>
          </w:p>
        </w:tc>
        <w:tc>
          <w:tcPr>
            <w:tcW w:type="dxa" w:w="2493"/>
          </w:tcPr>
          <w:p>
            <w:r/>
            <w:r>
              <w:rPr>
                <w:rFonts w:ascii="Calibri" w:hAnsi="Calibri" w:cs="Calibri" w:eastAsia="Calibri"/>
                <w:sz w:val="22"/>
              </w:rPr>
              <w:t>0.651</w:t>
            </w:r>
          </w:p>
        </w:tc>
        <w:tc>
          <w:tcPr>
            <w:tcW w:type="dxa" w:w="2493"/>
          </w:tcPr>
          <w:p>
            <w:r/>
            <w:r>
              <w:rPr>
                <w:rFonts w:ascii="Calibri" w:hAnsi="Calibri" w:cs="Calibri" w:eastAsia="Calibri"/>
                <w:sz w:val="22"/>
              </w:rPr>
              <w:t>0.791</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0.984</w:t>
            </w:r>
          </w:p>
        </w:tc>
      </w:tr>
    </w:tbl>
    <w:p>
      <w:pPr>
        <w:spacing w:after="120"/>
      </w:pPr>
    </w:p>
    <w:p>
      <w:pPr>
        <w:spacing w:before="160" w:after="40"/>
        <w:jc w:val="center"/>
      </w:pPr>
      <w:r>
        <w:drawing>
          <wp:inline xmlns:a="http://schemas.openxmlformats.org/drawingml/2006/main" xmlns:pic="http://schemas.openxmlformats.org/drawingml/2006/picture">
            <wp:extent cx="5400000" cy="3283006"/>
            <wp:docPr id="7" name="Picture 7"/>
            <wp:cNvGraphicFramePr>
              <a:graphicFrameLocks noChangeAspect="1"/>
            </wp:cNvGraphicFramePr>
            <a:graphic>
              <a:graphicData uri="http://schemas.openxmlformats.org/drawingml/2006/picture">
                <pic:pic>
                  <pic:nvPicPr>
                    <pic:cNvPr id="0" name="confusion_matrices.png"/>
                    <pic:cNvPicPr/>
                  </pic:nvPicPr>
                  <pic:blipFill>
                    <a:blip r:embed="rId15"/>
                    <a:stretch>
                      <a:fillRect/>
                    </a:stretch>
                  </pic:blipFill>
                  <pic:spPr>
                    <a:xfrm>
                      <a:off x="0" y="0"/>
                      <a:ext cx="5400000" cy="3283006"/>
                    </a:xfrm>
                    <a:prstGeom prst="rect"/>
                  </pic:spPr>
                </pic:pic>
              </a:graphicData>
            </a:graphic>
          </wp:inline>
        </w:drawing>
      </w:r>
    </w:p>
    <w:p>
      <w:pPr>
        <w:spacing w:after="200"/>
        <w:jc w:val="center"/>
      </w:pPr>
      <w:r>
        <w:rPr>
          <w:rFonts w:ascii="Calibri" w:hAnsi="Calibri" w:cs="Calibri" w:eastAsia="Calibri"/>
          <w:i/>
          <w:color w:val="555555"/>
          <w:sz w:val="20"/>
        </w:rPr>
        <w:t>Figure 7. Confusion matrices for the best model per factor (rows = true class, columns = predicted class).</w:t>
      </w:r>
    </w:p>
    <w:p>
      <w:pPr>
        <w:spacing w:before="160" w:after="40"/>
        <w:jc w:val="center"/>
      </w:pPr>
      <w:r>
        <w:drawing>
          <wp:inline xmlns:a="http://schemas.openxmlformats.org/drawingml/2006/main" xmlns:pic="http://schemas.openxmlformats.org/drawingml/2006/picture">
            <wp:extent cx="5400000" cy="3286693"/>
            <wp:docPr id="8" name="Picture 8"/>
            <wp:cNvGraphicFramePr>
              <a:graphicFrameLocks noChangeAspect="1"/>
            </wp:cNvGraphicFramePr>
            <a:graphic>
              <a:graphicData uri="http://schemas.openxmlformats.org/drawingml/2006/picture">
                <pic:pic>
                  <pic:nvPicPr>
                    <pic:cNvPr id="0" name="roc_curves.png"/>
                    <pic:cNvPicPr/>
                  </pic:nvPicPr>
                  <pic:blipFill>
                    <a:blip r:embed="rId16"/>
                    <a:stretch>
                      <a:fillRect/>
                    </a:stretch>
                  </pic:blipFill>
                  <pic:spPr>
                    <a:xfrm>
                      <a:off x="0" y="0"/>
                      <a:ext cx="5400000" cy="3286693"/>
                    </a:xfrm>
                    <a:prstGeom prst="rect"/>
                  </pic:spPr>
                </pic:pic>
              </a:graphicData>
            </a:graphic>
          </wp:inline>
        </w:drawing>
      </w:r>
    </w:p>
    <w:p>
      <w:pPr>
        <w:spacing w:after="200"/>
        <w:jc w:val="center"/>
      </w:pPr>
      <w:r>
        <w:rPr>
          <w:rFonts w:ascii="Calibri" w:hAnsi="Calibri" w:cs="Calibri" w:eastAsia="Calibri"/>
          <w:i/>
          <w:color w:val="555555"/>
          <w:sz w:val="20"/>
        </w:rPr>
        <w:t>Figure 8. ROC curves (one-vs-rest) for the best model per factor.</w:t>
      </w:r>
    </w:p>
    <w:p>
      <w:pPr>
        <w:spacing w:before="160" w:after="40"/>
        <w:jc w:val="center"/>
      </w:pPr>
      <w:r>
        <w:drawing>
          <wp:inline xmlns:a="http://schemas.openxmlformats.org/drawingml/2006/main" xmlns:pic="http://schemas.openxmlformats.org/drawingml/2006/picture">
            <wp:extent cx="5400000" cy="3614008"/>
            <wp:docPr id="9" name="Picture 9"/>
            <wp:cNvGraphicFramePr>
              <a:graphicFrameLocks noChangeAspect="1"/>
            </wp:cNvGraphicFramePr>
            <a:graphic>
              <a:graphicData uri="http://schemas.openxmlformats.org/drawingml/2006/picture">
                <pic:pic>
                  <pic:nvPicPr>
                    <pic:cNvPr id="0" name="feature_importance.png"/>
                    <pic:cNvPicPr/>
                  </pic:nvPicPr>
                  <pic:blipFill>
                    <a:blip r:embed="rId17"/>
                    <a:stretch>
                      <a:fillRect/>
                    </a:stretch>
                  </pic:blipFill>
                  <pic:spPr>
                    <a:xfrm>
                      <a:off x="0" y="0"/>
                      <a:ext cx="5400000" cy="3614008"/>
                    </a:xfrm>
                    <a:prstGeom prst="rect"/>
                  </pic:spPr>
                </pic:pic>
              </a:graphicData>
            </a:graphic>
          </wp:inline>
        </w:drawing>
      </w:r>
    </w:p>
    <w:p>
      <w:pPr>
        <w:spacing w:after="200"/>
        <w:jc w:val="center"/>
      </w:pPr>
      <w:r>
        <w:rPr>
          <w:rFonts w:ascii="Calibri" w:hAnsi="Calibri" w:cs="Calibri" w:eastAsia="Calibri"/>
          <w:i/>
          <w:color w:val="555555"/>
          <w:sz w:val="20"/>
        </w:rPr>
        <w:t>Figure 9. Top 10 features by importance for the best model per factor.</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loads the six saved bundles once via </w:t>
      </w:r>
      <w:r>
        <w:rPr>
          <w:rFonts w:ascii="Consolas" w:hAnsi="Consolas" w:cs="Consolas" w:eastAsia="Consolas"/>
          <w:sz w:val="20"/>
        </w:rPr>
        <w:t>@st.cache_resource</w:t>
      </w:r>
      <w:r>
        <w:rPr>
          <w:rFonts w:ascii="Calibri" w:hAnsi="Calibri" w:cs="Calibri" w:eastAsia="Calibri"/>
          <w:sz w:val="22"/>
        </w:rPr>
        <w:t xml:space="preserve"> and exposes a form with six sections that together cover every column in the CSV and xlsx.</w:t>
      </w:r>
    </w:p>
    <w:p>
      <w:pPr>
        <w:keepNext/>
        <w:spacing w:before="240" w:after="80"/>
      </w:pPr>
      <w:r>
        <w:rPr>
          <w:rFonts w:ascii="Calibri" w:hAnsi="Calibri" w:cs="Calibri" w:eastAsia="Calibri"/>
          <w:b/>
          <w:color w:val="2E86AB"/>
          <w:sz w:val="24"/>
        </w:rPr>
        <w:t>13.1 Form layout</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13.2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13.3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13.4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13.5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after="120"/>
      </w:pPr>
    </w:p>
    <w:p>
      <w:pPr>
        <w:spacing w:after="160"/>
      </w:pPr>
      <w:r>
        <w:rPr>
          <w:rFonts w:ascii="Calibri" w:hAnsi="Calibri" w:cs="Calibri" w:eastAsia="Calibri"/>
          <w:sz w:val="22"/>
        </w:rPr>
        <w:t>All saved artefacts (CSV tables, PNG figures, PKL models)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fell exactly on 3.889 dph (= 35 deliveries / 9 hours), which is the worst real combination in the sample. 55 of 182 riders tied at that value and were all binned into Medium because qcut is right-inclusive at the upper edge. The Stage-2 model could never predict High for the worst real rider, no matter what features it was given. The fix replaces qcut with fixed cuts at 2.5 and 3.75 so the worst case ends up in High where it should. Stage-1 High count went from 19 to 74. Stage-2 accuracy went from 74 percent to 62 percent. The drop is the honest trade: the model is now learning a real High class of 74 examples instead of memorising a 19-example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presentation slides</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 Risk Factor Prediction - Project Report</dc:title>
  <dc:subject/>
  <dc:creator>Vishnu vardhan</dc:creator>
  <cp:keywords/>
  <dc:description/>
  <cp:lastModifiedBy>Vishnu vardhan</cp:lastModifiedBy>
  <cp:revision>1</cp:revision>
  <dcterms:created xsi:type="dcterms:W3CDTF">2013-12-23T23:15:00Z</dcterms:created>
  <dcterms:modified xsi:type="dcterms:W3CDTF">2013-12-23T23:15:00Z</dcterms:modified>
  <cp:category/>
</cp:coreProperties>
</file>