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before="160" w:after="4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00"/>
        <w:jc w:val="center"/>
      </w:pPr>
      <w:r>
        <w:rPr>
          <w:rFonts w:ascii="Calibri" w:hAnsi="Calibri" w:cs="Calibri" w:eastAsia="Calibri"/>
          <w:i/>
          <w:color w:val="555555"/>
          <w:sz w:val="20"/>
        </w:rPr>
        <w:t>Figure 1. Pipeline overview: raw inputs to interactive prediction. The two-stage split keeps the Stage-1 risk labels auditable while letting Stage 2 generalise from the rider profile to new riders.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auditable by hand)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The six NASA-TLX items are averaged into one overall workload measure. The satisfaction item (Q28) is reversed first, because a higher satisfaction score actually means lower mental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The six Borg CR10 items are similarly averaged into a single physical-fatigue measure. No reversal is needed because all six items already point the same way (higher means harder):</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Phase 3 needs a separate force measurement (the Borg lifting/carrying item) to compute the Force risk level, so we pull that single item out as its own feature:</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Without an actual vibration sensor, we approximate exposure by multiplying the vehicle type (scooters vibrate less than motorbikes)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Sometimes the effect of two factors together is bigger than either one alone. An older rider with high workload is at extra risk on top of what age and workload would each suggest separately. We add five features that capture these combinations by multiplying the relevant inputs: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The Repetition factor is about how fast a rider works: how many deliveries they make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The first version of the binning split the riders into three equal- sized groups (using </w:t>
      </w:r>
      <w:r>
        <w:rPr>
          <w:rFonts w:ascii="Consolas" w:hAnsi="Consolas" w:cs="Consolas" w:eastAsia="Consolas"/>
          <w:sz w:val="20"/>
        </w:rPr>
        <w:t>pd.qcut(deliveries_per_hour, q=3)</w:t>
      </w:r>
      <w:r>
        <w:rPr>
          <w:rFonts w:ascii="Calibri" w:hAnsi="Calibri" w:cs="Calibri" w:eastAsia="Calibri"/>
          <w:sz w:val="22"/>
        </w:rPr>
        <w:t xml:space="preserve">). That ran into a real problem. The boundary between the Medium and High groups landed on the value 3.889 deliveries per hour, which happens to be exactly 35 deliveries over 9 hours. 55 of the 182 riders worked at that pace. Because of how </w:t>
      </w:r>
      <w:r>
        <w:rPr>
          <w:rFonts w:ascii="Consolas" w:hAnsi="Consolas" w:cs="Consolas" w:eastAsia="Consolas"/>
          <w:sz w:val="20"/>
        </w:rPr>
        <w:t>pd.qcut</w:t>
      </w:r>
      <w:r>
        <w:rPr>
          <w:rFonts w:ascii="Calibri" w:hAnsi="Calibri" w:cs="Calibri" w:eastAsia="Calibri"/>
          <w:sz w:val="22"/>
        </w:rPr>
        <w:t xml:space="preserve"> resolves boundaries, all 55 of them fell into the Medium group. The model never saw a High example that matched the busiest real schedule and so could never predict High for that rider. Phase 3 now uses fixed cuts instead of equal- sized groups: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The chi-square test asks a simple question: are riders in the High band of this risk factor more likely to report discomfort than riders in the Low band, beyond what random chance would explain?</w:t>
      </w:r>
    </w:p>
    <w:p>
      <w:pPr>
        <w:spacing w:after="160"/>
      </w:pPr>
      <w:r>
        <w:rPr>
          <w:rFonts w:ascii="Calibri" w:hAnsi="Calibri" w:cs="Calibri" w:eastAsia="Calibri"/>
          <w:sz w:val="22"/>
        </w:rPr>
        <w:t>For each of the six risk factors, we build a small 2 by 3 table counting how many riders reported discomfort and how many did not, broken down by Low / Medium / High. The chi-square test of independence (</w:t>
      </w:r>
      <w:r>
        <w:rPr>
          <w:rFonts w:ascii="Consolas" w:hAnsi="Consolas" w:cs="Consolas" w:eastAsia="Consolas"/>
          <w:sz w:val="20"/>
        </w:rPr>
        <w:t>scipy.stats.chi2_contingency</w:t>
      </w:r>
      <w:r>
        <w:rPr>
          <w:rFonts w:ascii="Calibri" w:hAnsi="Calibri" w:cs="Calibri" w:eastAsia="Calibri"/>
          <w:sz w:val="22"/>
        </w:rPr>
        <w:t>) compares the observed counts against the counts we would expect if discomfort and risk were unrelated. We treat p &lt; 0.05 as significant.</w:t>
      </w:r>
    </w:p>
    <w:p>
      <w:pPr>
        <w:spacing w:after="160"/>
      </w:pPr>
      <w:r>
        <w:rPr>
          <w:rFonts w:ascii="Calibri" w:hAnsi="Calibri" w:cs="Calibri" w:eastAsia="Calibri"/>
          <w:sz w:val="22"/>
        </w:rPr>
        <w:t>The Pearson chi-square statistic adds up the squared differences between observed and expected, scaled by expected:</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p>
      <w:pPr>
        <w:spacing w:after="160"/>
      </w:pPr>
      <w:r>
        <w:rPr>
          <w:rFonts w:ascii="Calibri" w:hAnsi="Calibri" w:cs="Calibri" w:eastAsia="Calibri"/>
          <w:b/>
          <w:sz w:val="22"/>
        </w:rPr>
        <w:t>Table 1. Chi-square test of independence between each risk factor and self-reported 12-month discomfort.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3B73"/>
          </w:tcPr>
          <w:p>
            <w:r/>
            <w:r>
              <w:rPr>
                <w:rFonts w:ascii="Calibri" w:hAnsi="Calibri" w:cs="Calibri" w:eastAsia="Calibri"/>
                <w:b/>
                <w:color w:val="FFFFFF"/>
                <w:sz w:val="20"/>
              </w:rPr>
              <w:t>Factor</w:t>
            </w:r>
          </w:p>
        </w:tc>
        <w:tc>
          <w:tcPr>
            <w:tcW w:type="dxa" w:w="1994"/>
            <w:shd w:fill="1F3B73"/>
          </w:tcPr>
          <w:p>
            <w:r/>
            <w:r>
              <w:rPr>
                <w:rFonts w:ascii="Calibri" w:hAnsi="Calibri" w:cs="Calibri" w:eastAsia="Calibri"/>
                <w:b/>
                <w:color w:val="FFFFFF"/>
                <w:sz w:val="20"/>
              </w:rPr>
              <w:t>chi-square</w:t>
            </w:r>
          </w:p>
        </w:tc>
        <w:tc>
          <w:tcPr>
            <w:tcW w:type="dxa" w:w="1994"/>
            <w:shd w:fill="1F3B73"/>
          </w:tcPr>
          <w:p>
            <w:r/>
            <w:r>
              <w:rPr>
                <w:rFonts w:ascii="Calibri" w:hAnsi="Calibri" w:cs="Calibri" w:eastAsia="Calibri"/>
                <w:b/>
                <w:color w:val="FFFFFF"/>
                <w:sz w:val="20"/>
              </w:rPr>
              <w:t>dof</w:t>
            </w:r>
          </w:p>
        </w:tc>
        <w:tc>
          <w:tcPr>
            <w:tcW w:type="dxa" w:w="1994"/>
            <w:shd w:fill="1F3B73"/>
          </w:tcPr>
          <w:p>
            <w:r/>
            <w:r>
              <w:rPr>
                <w:rFonts w:ascii="Calibri" w:hAnsi="Calibri" w:cs="Calibri" w:eastAsia="Calibri"/>
                <w:b/>
                <w:color w:val="FFFFFF"/>
                <w:sz w:val="20"/>
              </w:rPr>
              <w:t>p</w:t>
            </w:r>
          </w:p>
        </w:tc>
        <w:tc>
          <w:tcPr>
            <w:tcW w:type="dxa" w:w="1994"/>
            <w:shd w:fill="1F3B73"/>
          </w:tcPr>
          <w:p>
            <w:r/>
            <w:r>
              <w:rPr>
                <w:rFonts w:ascii="Calibri" w:hAnsi="Calibri" w:cs="Calibri" w:eastAsia="Calibri"/>
                <w:b/>
                <w:color w:val="FFFFFF"/>
                <w:sz w:val="20"/>
              </w:rPr>
              <w:t>Significant</w:t>
            </w:r>
          </w:p>
        </w:tc>
      </w:tr>
      <w:tr>
        <w:tc>
          <w:tcPr>
            <w:tcW w:type="dxa" w:w="1994"/>
          </w:tcPr>
          <w:p>
            <w:r/>
            <w:r>
              <w:rPr>
                <w:rFonts w:ascii="Calibri" w:hAnsi="Calibri" w:cs="Calibri" w:eastAsia="Calibri"/>
                <w:sz w:val="22"/>
              </w:rPr>
              <w:t>Posture</w:t>
            </w:r>
          </w:p>
        </w:tc>
        <w:tc>
          <w:tcPr>
            <w:tcW w:type="dxa" w:w="1994"/>
          </w:tcPr>
          <w:p>
            <w:r/>
            <w:r>
              <w:rPr>
                <w:rFonts w:ascii="Calibri" w:hAnsi="Calibri" w:cs="Calibri" w:eastAsia="Calibri"/>
                <w:sz w:val="22"/>
              </w:rPr>
              <w:t>45.67</w:t>
            </w:r>
          </w:p>
        </w:tc>
        <w:tc>
          <w:tcPr>
            <w:tcW w:type="dxa" w:w="1994"/>
          </w:tcPr>
          <w:p>
            <w:r/>
            <w:r>
              <w:rPr>
                <w:rFonts w:ascii="Calibri" w:hAnsi="Calibri" w:cs="Calibri" w:eastAsia="Calibri"/>
                <w:sz w:val="22"/>
              </w:rPr>
              <w:t>1</w:t>
            </w:r>
          </w:p>
        </w:tc>
        <w:tc>
          <w:tcPr>
            <w:tcW w:type="dxa" w:w="1994"/>
          </w:tcPr>
          <w:p>
            <w:r/>
            <w:r>
              <w:rPr>
                <w:rFonts w:ascii="Calibri" w:hAnsi="Calibri" w:cs="Calibri" w:eastAsia="Calibri"/>
                <w:sz w:val="22"/>
              </w:rPr>
              <w:t>&lt;0.001</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Repetition</w:t>
            </w:r>
          </w:p>
        </w:tc>
        <w:tc>
          <w:tcPr>
            <w:tcW w:type="dxa" w:w="1994"/>
          </w:tcPr>
          <w:p>
            <w:r/>
            <w:r>
              <w:rPr>
                <w:rFonts w:ascii="Calibri" w:hAnsi="Calibri" w:cs="Calibri" w:eastAsia="Calibri"/>
                <w:sz w:val="22"/>
              </w:rPr>
              <w:t>8.62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0.014</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Force</w:t>
            </w:r>
          </w:p>
        </w:tc>
        <w:tc>
          <w:tcPr>
            <w:tcW w:type="dxa" w:w="1994"/>
          </w:tcPr>
          <w:p>
            <w:r/>
            <w:r>
              <w:rPr>
                <w:rFonts w:ascii="Calibri" w:hAnsi="Calibri" w:cs="Calibri" w:eastAsia="Calibri"/>
                <w:sz w:val="22"/>
              </w:rPr>
              <w:t>6.72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0.035</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Duration</w:t>
            </w:r>
          </w:p>
        </w:tc>
        <w:tc>
          <w:tcPr>
            <w:tcW w:type="dxa" w:w="1994"/>
          </w:tcPr>
          <w:p>
            <w:r/>
            <w:r>
              <w:rPr>
                <w:rFonts w:ascii="Calibri" w:hAnsi="Calibri" w:cs="Calibri" w:eastAsia="Calibri"/>
                <w:sz w:val="22"/>
              </w:rPr>
              <w:t>0.62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0.73</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Vibration</w:t>
            </w:r>
          </w:p>
        </w:tc>
        <w:tc>
          <w:tcPr>
            <w:tcW w:type="dxa" w:w="1994"/>
          </w:tcPr>
          <w:p>
            <w:r/>
            <w:r>
              <w:rPr>
                <w:rFonts w:ascii="Calibri" w:hAnsi="Calibri" w:cs="Calibri" w:eastAsia="Calibri"/>
                <w:sz w:val="22"/>
              </w:rPr>
              <w:t>0.60</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0.74</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Contact Stress</w:t>
            </w:r>
          </w:p>
        </w:tc>
        <w:tc>
          <w:tcPr>
            <w:tcW w:type="dxa" w:w="1994"/>
          </w:tcPr>
          <w:p>
            <w:r/>
            <w:r>
              <w:rPr>
                <w:rFonts w:ascii="Calibri" w:hAnsi="Calibri" w:cs="Calibri" w:eastAsia="Calibri"/>
                <w:sz w:val="22"/>
              </w:rPr>
              <w:t>0.54</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0.76</w:t>
            </w:r>
          </w:p>
        </w:tc>
        <w:tc>
          <w:tcPr>
            <w:tcW w:type="dxa" w:w="1994"/>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alibri" w:hAnsi="Calibri" w:cs="Calibri" w:eastAsia="Calibri"/>
          <w:sz w:val="22"/>
        </w:rPr>
        <w:t>A chi-square test treats one factor at a time. Logistic regression goes one step further: it estimates the effect of each predictor while controlling for the others, so we can tell whether (say) age is still a significant predictor of discomfort after accounting for work hours and workload.</w:t>
      </w:r>
    </w:p>
    <w:p>
      <w:pPr>
        <w:spacing w:after="160"/>
      </w:pPr>
      <w:r>
        <w:rPr>
          <w:rFonts w:ascii="Calibri" w:hAnsi="Calibri" w:cs="Calibri" w:eastAsia="Calibri"/>
          <w:sz w:val="22"/>
        </w:rPr>
        <w:t>We fit a logistic regression (</w:t>
      </w:r>
      <w:r>
        <w:rPr>
          <w:rFonts w:ascii="Consolas" w:hAnsi="Consolas" w:cs="Consolas" w:eastAsia="Consolas"/>
          <w:sz w:val="20"/>
        </w:rPr>
        <w:t>statsmodels.api.Logit</w:t>
      </w:r>
      <w:r>
        <w:rPr>
          <w:rFonts w:ascii="Calibri" w:hAnsi="Calibri" w:cs="Calibri" w:eastAsia="Calibri"/>
          <w:sz w:val="22"/>
        </w:rPr>
        <w: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 itself estimates the probability that a rider reports discomfort as a function of their profile:</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The coefficients </w:t>
      </w:r>
      <w:r>
        <w:rPr>
          <w:rFonts w:ascii="Consolas" w:hAnsi="Consolas" w:cs="Consolas" w:eastAsia="Consolas"/>
          <w:sz w:val="20"/>
        </w:rPr>
        <w:t>bj</w:t>
      </w:r>
      <w:r>
        <w:rPr>
          <w:rFonts w:ascii="Calibri" w:hAnsi="Calibri" w:cs="Calibri" w:eastAsia="Calibri"/>
          <w:sz w:val="22"/>
        </w:rPr>
        <w:t xml:space="preserve"> are fit by maximum likelihood (Newton-Raphson iterations under the hood). The result for each predictor is typically reported as an odds ratio. An odds ratio of 2 means that each one-unit increase in that predictor doubles the odds of reporting discomfort. The odds ratio is </w:t>
      </w:r>
      <w:r>
        <w:rPr>
          <w:rFonts w:ascii="Consolas" w:hAnsi="Consolas" w:cs="Consolas" w:eastAsia="Consolas"/>
          <w:sz w:val="20"/>
        </w:rPr>
        <w:t>exp(bj)</w:t>
      </w:r>
      <w:r>
        <w:rPr>
          <w:rFonts w:ascii="Calibri" w:hAnsi="Calibri" w:cs="Calibri" w:eastAsia="Calibri"/>
          <w:sz w:val="22"/>
        </w:rPr>
        <w:t xml:space="preserve">, and the 95 percent confidence interval is </w:t>
      </w:r>
      <w:r>
        <w:rPr>
          <w:rFonts w:ascii="Consolas" w:hAnsi="Consolas" w:cs="Consolas" w:eastAsia="Consolas"/>
          <w:sz w:val="20"/>
        </w:rPr>
        <w:t>exp(bj +/- 1.96 * SE(bj))</w:t>
      </w:r>
      <w:r>
        <w:rPr>
          <w:rFonts w:ascii="Calibri" w:hAnsi="Calibri" w:cs="Calibri" w:eastAsia="Calibri"/>
          <w:sz w:val="22"/>
        </w:rPr>
        <w:t xml:space="preserve"> where </w:t>
      </w:r>
      <w:r>
        <w:rPr>
          <w:rFonts w:ascii="Consolas" w:hAnsi="Consolas" w:cs="Consolas" w:eastAsia="Consolas"/>
          <w:sz w:val="20"/>
        </w:rPr>
        <w:t>SE(bj)</w:t>
      </w:r>
      <w:r>
        <w:rPr>
          <w:rFonts w:ascii="Calibri" w:hAnsi="Calibri" w:cs="Calibri" w:eastAsia="Calibri"/>
          <w:sz w:val="22"/>
        </w:rPr>
        <w:t xml:space="preserve"> is the standard error of the coefficient.</w:t>
      </w:r>
    </w:p>
    <w:p>
      <w:pPr>
        <w:spacing w:after="160"/>
      </w:pPr>
      <w:r>
        <w:rPr>
          <w:rFonts w:ascii="Calibri" w:hAnsi="Calibri" w:cs="Calibri" w:eastAsia="Calibri"/>
          <w:b/>
          <w:sz w:val="22"/>
        </w:rPr>
        <w:t>Table 2. Multivariable logistic regression of discomfort on rider profile, 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p>
      <w:pPr>
        <w:spacing w:after="160"/>
      </w:pPr>
      <w:r>
        <w:rPr>
          <w:rFonts w:ascii="Calibri" w:hAnsi="Calibri" w:cs="Calibri" w:eastAsia="Calibri"/>
          <w:b/>
          <w:sz w:val="22"/>
        </w:rPr>
        <w:t>Table 3. Per-target feature exclusions and final feature count.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fairly.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spacing w:after="160"/>
      </w:pPr>
      <w:r>
        <w:rPr>
          <w:rFonts w:ascii="Calibri" w:hAnsi="Calibri" w:cs="Calibri" w:eastAsia="Calibri"/>
          <w:sz w:val="22"/>
        </w:rPr>
        <w:t xml:space="preserve">The exact hyperparameters that </w:t>
      </w:r>
      <w:r>
        <w:rPr>
          <w:rFonts w:ascii="Consolas" w:hAnsi="Consolas" w:cs="Consolas" w:eastAsia="Consolas"/>
          <w:sz w:val="20"/>
        </w:rPr>
        <w:t>GridSearchCV</w:t>
      </w:r>
      <w:r>
        <w:rPr>
          <w:rFonts w:ascii="Calibri" w:hAnsi="Calibri" w:cs="Calibri" w:eastAsia="Calibri"/>
          <w:sz w:val="22"/>
        </w:rPr>
        <w:t xml:space="preserve"> settled on per target (introspected from the saved bundles) are listed in Table 10. These are the values to reproduce if you want a bit-identical refit.</w:t>
      </w:r>
    </w:p>
    <w:p>
      <w:pPr>
        <w:spacing w:after="160"/>
      </w:pPr>
      <w:r>
        <w:rPr>
          <w:rFonts w:ascii="Calibri" w:hAnsi="Calibri" w:cs="Calibri" w:eastAsia="Calibri"/>
          <w:b/>
          <w:sz w:val="22"/>
        </w:rPr>
        <w:t>Table 10. Winning hyperparameters per target.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Best model</w:t>
            </w:r>
          </w:p>
        </w:tc>
        <w:tc>
          <w:tcPr>
            <w:tcW w:type="dxa" w:w="2493"/>
            <w:shd w:fill="1F3B73"/>
          </w:tcPr>
          <w:p>
            <w:r/>
            <w:r>
              <w:rPr>
                <w:rFonts w:ascii="Calibri" w:hAnsi="Calibri" w:cs="Calibri" w:eastAsia="Calibri"/>
                <w:b/>
                <w:color w:val="FFFFFF"/>
                <w:sz w:val="20"/>
              </w:rPr>
              <w:t>Tuned hyperparameters</w:t>
            </w:r>
          </w:p>
        </w:tc>
        <w:tc>
          <w:tcPr>
            <w:tcW w:type="dxa" w:w="2493"/>
            <w:shd w:fill="1F3B73"/>
          </w:tcPr>
          <w:p>
            <w:r/>
            <w:r>
              <w:rPr>
                <w:rFonts w:ascii="Calibri" w:hAnsi="Calibri" w:cs="Calibri" w:eastAsia="Calibri"/>
                <w:b/>
                <w:color w:val="FFFFFF"/>
                <w:sz w:val="20"/>
              </w:rPr>
              <w:t>SMOTE k</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ExtraTrees</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bl>
    <w:p>
      <w:pPr>
        <w:spacing w:after="120"/>
      </w:pP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before="160" w:after="4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00"/>
        <w:jc w:val="center"/>
      </w:pPr>
      <w:r>
        <w:rPr>
          <w:rFonts w:ascii="Calibri" w:hAnsi="Calibri" w:cs="Calibri" w:eastAsia="Calibri"/>
          <w:i/>
          <w:color w:val="555555"/>
          <w:sz w:val="20"/>
        </w:rPr>
        <w:t>Figure 2. Sample profile across gender, age band, delivery platform, vehicle type, and carrying mode.</w:t>
      </w:r>
    </w:p>
    <w:p>
      <w:pPr>
        <w:spacing w:after="160"/>
      </w:pPr>
      <w:r>
        <w:rPr>
          <w:rFonts w:ascii="Calibri" w:hAnsi="Calibri" w:cs="Calibri" w:eastAsia="Calibri"/>
          <w:sz w:val="22"/>
        </w:rPr>
        <w:t>84.6 percent of the riders reported pain in at least one body area in the last 12 months.</w:t>
      </w:r>
    </w:p>
    <w:p>
      <w:pPr>
        <w:spacing w:after="160"/>
      </w:pPr>
      <w:r>
        <w:rPr>
          <w:rFonts w:ascii="Calibri" w:hAnsi="Calibri" w:cs="Calibri" w:eastAsia="Calibri"/>
          <w:b/>
          <w:sz w:val="22"/>
        </w:rPr>
        <w:t>Table 4. NMQ 12-month pain prevalence per body area.</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spacing w:before="160" w:after="4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00"/>
        <w:jc w:val="center"/>
      </w:pPr>
      <w:r>
        <w:rPr>
          <w:rFonts w:ascii="Calibri" w:hAnsi="Calibri" w:cs="Calibri" w:eastAsia="Calibri"/>
          <w:i/>
          <w:color w:val="555555"/>
          <w:sz w:val="20"/>
        </w:rPr>
        <w:t>Figure 3. NMQ 12-month pain prevalence per body area, sorted by frequency.</w:t>
      </w:r>
    </w:p>
    <w:p>
      <w:pPr>
        <w:spacing w:before="160" w:after="4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00"/>
        <w:jc w:val="center"/>
      </w:pPr>
      <w:r>
        <w:rPr>
          <w:rFonts w:ascii="Calibri" w:hAnsi="Calibri" w:cs="Calibri" w:eastAsia="Calibri"/>
          <w:i/>
          <w:color w:val="555555"/>
          <w:sz w:val="20"/>
        </w:rPr>
        <w:t>Figure 4. Discomfort prevalence broken down by age, gender, vehicle, and carrying mode.</w:t>
      </w:r>
    </w:p>
    <w:p>
      <w:pPr>
        <w:keepNext/>
        <w:spacing w:before="240" w:after="80"/>
      </w:pPr>
      <w:r>
        <w:rPr>
          <w:rFonts w:ascii="Calibri" w:hAnsi="Calibri" w:cs="Calibri" w:eastAsia="Calibri"/>
          <w:b/>
          <w:color w:val="2E86AB"/>
          <w:sz w:val="24"/>
        </w:rPr>
        <w:t>12.1 Stage-1 risk distribution</w:t>
      </w:r>
    </w:p>
    <w:p>
      <w:pPr>
        <w:spacing w:after="160"/>
      </w:pPr>
      <w:r>
        <w:rPr>
          <w:rFonts w:ascii="Calibri" w:hAnsi="Calibri" w:cs="Calibri" w:eastAsia="Calibri"/>
          <w:b/>
          <w:sz w:val="22"/>
        </w:rPr>
        <w:t>Table 5. Stage-1 risk band counts per factor (n = 182).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spacing w:before="160" w:after="4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00"/>
        <w:jc w:val="center"/>
      </w:pPr>
      <w:r>
        <w:rPr>
          <w:rFonts w:ascii="Calibri" w:hAnsi="Calibri" w:cs="Calibri" w:eastAsia="Calibri"/>
          <w:i/>
          <w:color w:val="555555"/>
          <w:sz w:val="20"/>
        </w:rPr>
        <w:t>Figure 5. Stage-1 Low / Medium / High counts per risk factor.</w:t>
      </w:r>
    </w:p>
    <w:p>
      <w:pPr>
        <w:spacing w:before="160" w:after="4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00"/>
        <w:jc w:val="center"/>
      </w:pPr>
      <w:r>
        <w:rPr>
          <w:rFonts w:ascii="Calibri" w:hAnsi="Calibri" w:cs="Calibri" w:eastAsia="Calibri"/>
          <w:i/>
          <w:color w:val="555555"/>
          <w:sz w:val="20"/>
        </w:rPr>
        <w:t>Figure 6. Discomfort prevalence within each Low / Medium / High band, per risk factor.</w:t>
      </w:r>
    </w:p>
    <w:p>
      <w:pPr>
        <w:spacing w:before="160" w:after="4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00"/>
        <w:jc w:val="center"/>
      </w:pPr>
      <w:r>
        <w:rPr>
          <w:rFonts w:ascii="Calibri" w:hAnsi="Calibri" w:cs="Calibri" w:eastAsia="Calibri"/>
          <w:i/>
          <w:color w:val="555555"/>
          <w:sz w:val="20"/>
        </w:rPr>
        <w:t>Figure 7. Pearson correlation matrix across the numeric feature pool.</w:t>
      </w:r>
    </w:p>
    <w:p>
      <w:pPr>
        <w:keepNext/>
        <w:spacing w:before="240" w:after="80"/>
      </w:pPr>
      <w:r>
        <w:rPr>
          <w:rFonts w:ascii="Calibri" w:hAnsi="Calibri" w:cs="Calibri" w:eastAsia="Calibri"/>
          <w:b/>
          <w:color w:val="2E86AB"/>
          <w:sz w:val="24"/>
        </w:rPr>
        <w:t>12.2 Stage-2 model performance</w:t>
      </w:r>
    </w:p>
    <w:p>
      <w:pPr>
        <w:spacing w:after="160"/>
      </w:pPr>
      <w:r>
        <w:rPr>
          <w:rFonts w:ascii="Calibri" w:hAnsi="Calibri" w:cs="Calibri" w:eastAsia="Calibri"/>
          <w:b/>
          <w:sz w:val="22"/>
        </w:rPr>
        <w:t>Table 6. Best Stage-2 model per risk factor, 5-fold stratified CV.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Macro 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spacing w:after="160"/>
      </w:pPr>
      <w:r>
        <w:rPr>
          <w:rFonts w:ascii="Calibri" w:hAnsi="Calibri" w:cs="Calibri" w:eastAsia="Calibri"/>
          <w:b/>
          <w:sz w:val="22"/>
        </w:rPr>
        <w:t>Table 7. Per-class ROC AUC (one-vs-rest) for the best model per factor.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0.798</w:t>
            </w:r>
          </w:p>
        </w:tc>
        <w:tc>
          <w:tcPr>
            <w:tcW w:type="dxa" w:w="2493"/>
          </w:tcPr>
          <w:p>
            <w:r/>
            <w:r>
              <w:rPr>
                <w:rFonts w:ascii="Calibri" w:hAnsi="Calibri" w:cs="Calibri" w:eastAsia="Calibri"/>
                <w:sz w:val="22"/>
              </w:rPr>
              <w:t>0.580</w:t>
            </w:r>
          </w:p>
        </w:tc>
        <w:tc>
          <w:tcPr>
            <w:tcW w:type="dxa" w:w="2493"/>
          </w:tcPr>
          <w:p>
            <w:r/>
            <w:r>
              <w:rPr>
                <w:rFonts w:ascii="Calibri" w:hAnsi="Calibri" w:cs="Calibri" w:eastAsia="Calibri"/>
                <w:sz w:val="22"/>
              </w:rPr>
              <w:t>0.760</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0.745</w:t>
            </w:r>
          </w:p>
        </w:tc>
        <w:tc>
          <w:tcPr>
            <w:tcW w:type="dxa" w:w="2493"/>
          </w:tcPr>
          <w:p>
            <w:r/>
            <w:r>
              <w:rPr>
                <w:rFonts w:ascii="Calibri" w:hAnsi="Calibri" w:cs="Calibri" w:eastAsia="Calibri"/>
                <w:sz w:val="22"/>
              </w:rPr>
              <w:t>0.669</w:t>
            </w:r>
          </w:p>
        </w:tc>
        <w:tc>
          <w:tcPr>
            <w:tcW w:type="dxa" w:w="2493"/>
          </w:tcPr>
          <w:p>
            <w:r/>
            <w:r>
              <w:rPr>
                <w:rFonts w:ascii="Calibri" w:hAnsi="Calibri" w:cs="Calibri" w:eastAsia="Calibri"/>
                <w:sz w:val="22"/>
              </w:rPr>
              <w:t>0.782</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0.822</w:t>
            </w:r>
          </w:p>
        </w:tc>
        <w:tc>
          <w:tcPr>
            <w:tcW w:type="dxa" w:w="2493"/>
          </w:tcPr>
          <w:p>
            <w:r/>
            <w:r>
              <w:rPr>
                <w:rFonts w:ascii="Calibri" w:hAnsi="Calibri" w:cs="Calibri" w:eastAsia="Calibri"/>
                <w:sz w:val="22"/>
              </w:rPr>
              <w:t>0.649</w:t>
            </w:r>
          </w:p>
        </w:tc>
        <w:tc>
          <w:tcPr>
            <w:tcW w:type="dxa" w:w="2493"/>
          </w:tcPr>
          <w:p>
            <w:r/>
            <w:r>
              <w:rPr>
                <w:rFonts w:ascii="Calibri" w:hAnsi="Calibri" w:cs="Calibri" w:eastAsia="Calibri"/>
                <w:sz w:val="22"/>
              </w:rPr>
              <w:t>0.797</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0.775</w:t>
            </w:r>
          </w:p>
        </w:tc>
        <w:tc>
          <w:tcPr>
            <w:tcW w:type="dxa" w:w="2493"/>
          </w:tcPr>
          <w:p>
            <w:r/>
            <w:r>
              <w:rPr>
                <w:rFonts w:ascii="Calibri" w:hAnsi="Calibri" w:cs="Calibri" w:eastAsia="Calibri"/>
                <w:sz w:val="22"/>
              </w:rPr>
              <w:t>0.615</w:t>
            </w:r>
          </w:p>
        </w:tc>
        <w:tc>
          <w:tcPr>
            <w:tcW w:type="dxa" w:w="2493"/>
          </w:tcPr>
          <w:p>
            <w:r/>
            <w:r>
              <w:rPr>
                <w:rFonts w:ascii="Calibri" w:hAnsi="Calibri" w:cs="Calibri" w:eastAsia="Calibri"/>
                <w:sz w:val="22"/>
              </w:rPr>
              <w:t>0.779</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0.763</w:t>
            </w:r>
          </w:p>
        </w:tc>
        <w:tc>
          <w:tcPr>
            <w:tcW w:type="dxa" w:w="2493"/>
          </w:tcPr>
          <w:p>
            <w:r/>
            <w:r>
              <w:rPr>
                <w:rFonts w:ascii="Calibri" w:hAnsi="Calibri" w:cs="Calibri" w:eastAsia="Calibri"/>
                <w:sz w:val="22"/>
              </w:rPr>
              <w:t>0.651</w:t>
            </w:r>
          </w:p>
        </w:tc>
        <w:tc>
          <w:tcPr>
            <w:tcW w:type="dxa" w:w="2493"/>
          </w:tcPr>
          <w:p>
            <w:r/>
            <w:r>
              <w:rPr>
                <w:rFonts w:ascii="Calibri" w:hAnsi="Calibri" w:cs="Calibri" w:eastAsia="Calibri"/>
                <w:sz w:val="22"/>
              </w:rPr>
              <w:t>0.791</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0.984</w:t>
            </w:r>
          </w:p>
        </w:tc>
      </w:tr>
    </w:tbl>
    <w:p>
      <w:pPr>
        <w:spacing w:after="120"/>
      </w:pPr>
    </w:p>
    <w:p>
      <w:pPr>
        <w:spacing w:after="160"/>
      </w:pPr>
      <w:r>
        <w:rPr>
          <w:rFonts w:ascii="Calibri" w:hAnsi="Calibri" w:cs="Calibri" w:eastAsia="Calibri"/>
          <w:b/>
          <w:sz w:val="22"/>
        </w:rPr>
        <w:t>Table 8. Per-class precision, recall, F1, and support for the best model per factor.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Class</w:t>
            </w:r>
          </w:p>
        </w:tc>
        <w:tc>
          <w:tcPr>
            <w:tcW w:type="dxa" w:w="1662"/>
            <w:shd w:fill="1F3B73"/>
          </w:tcPr>
          <w:p>
            <w:r/>
            <w:r>
              <w:rPr>
                <w:rFonts w:ascii="Calibri" w:hAnsi="Calibri" w:cs="Calibri" w:eastAsia="Calibri"/>
                <w:b/>
                <w:color w:val="FFFFFF"/>
                <w:sz w:val="20"/>
              </w:rPr>
              <w:t>Precision</w:t>
            </w:r>
          </w:p>
        </w:tc>
        <w:tc>
          <w:tcPr>
            <w:tcW w:type="dxa" w:w="1662"/>
            <w:shd w:fill="1F3B73"/>
          </w:tcPr>
          <w:p>
            <w:r/>
            <w:r>
              <w:rPr>
                <w:rFonts w:ascii="Calibri" w:hAnsi="Calibri" w:cs="Calibri" w:eastAsia="Calibri"/>
                <w:b/>
                <w:color w:val="FFFFFF"/>
                <w:sz w:val="20"/>
              </w:rPr>
              <w:t>Recall</w:t>
            </w:r>
          </w:p>
        </w:tc>
        <w:tc>
          <w:tcPr>
            <w:tcW w:type="dxa" w:w="1662"/>
            <w:shd w:fill="1F3B73"/>
          </w:tcPr>
          <w:p>
            <w:r/>
            <w:r>
              <w:rPr>
                <w:rFonts w:ascii="Calibri" w:hAnsi="Calibri" w:cs="Calibri" w:eastAsia="Calibri"/>
                <w:b/>
                <w:color w:val="FFFFFF"/>
                <w:sz w:val="20"/>
              </w:rPr>
              <w:t>F1</w:t>
            </w:r>
          </w:p>
        </w:tc>
        <w:tc>
          <w:tcPr>
            <w:tcW w:type="dxa" w:w="1662"/>
            <w:shd w:fill="1F3B73"/>
          </w:tcPr>
          <w:p>
            <w:r/>
            <w:r>
              <w:rPr>
                <w:rFonts w:ascii="Calibri" w:hAnsi="Calibri" w:cs="Calibri" w:eastAsia="Calibri"/>
                <w:b/>
                <w:color w:val="FFFFFF"/>
                <w:sz w:val="20"/>
              </w:rPr>
              <w:t>Support</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0.734</w:t>
            </w:r>
          </w:p>
        </w:tc>
        <w:tc>
          <w:tcPr>
            <w:tcW w:type="dxa" w:w="1662"/>
          </w:tcPr>
          <w:p>
            <w:r/>
            <w:r>
              <w:rPr>
                <w:rFonts w:ascii="Calibri" w:hAnsi="Calibri" w:cs="Calibri" w:eastAsia="Calibri"/>
                <w:sz w:val="22"/>
              </w:rPr>
              <w:t>0.767</w:t>
            </w:r>
          </w:p>
        </w:tc>
        <w:tc>
          <w:tcPr>
            <w:tcW w:type="dxa" w:w="1662"/>
          </w:tcPr>
          <w:p>
            <w:r/>
            <w:r>
              <w:rPr>
                <w:rFonts w:ascii="Calibri" w:hAnsi="Calibri" w:cs="Calibri" w:eastAsia="Calibri"/>
                <w:sz w:val="22"/>
              </w:rPr>
              <w:t>0.750</w:t>
            </w:r>
          </w:p>
        </w:tc>
        <w:tc>
          <w:tcPr>
            <w:tcW w:type="dxa" w:w="1662"/>
          </w:tcPr>
          <w:p>
            <w:r/>
            <w:r>
              <w:rPr>
                <w:rFonts w:ascii="Calibri" w:hAnsi="Calibri" w:cs="Calibri" w:eastAsia="Calibri"/>
                <w:sz w:val="22"/>
              </w:rPr>
              <w:t>90</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0.490</w:t>
            </w:r>
          </w:p>
        </w:tc>
        <w:tc>
          <w:tcPr>
            <w:tcW w:type="dxa" w:w="1662"/>
          </w:tcPr>
          <w:p>
            <w:r/>
            <w:r>
              <w:rPr>
                <w:rFonts w:ascii="Calibri" w:hAnsi="Calibri" w:cs="Calibri" w:eastAsia="Calibri"/>
                <w:sz w:val="22"/>
              </w:rPr>
              <w:t>0.421</w:t>
            </w:r>
          </w:p>
        </w:tc>
        <w:tc>
          <w:tcPr>
            <w:tcW w:type="dxa" w:w="1662"/>
          </w:tcPr>
          <w:p>
            <w:r/>
            <w:r>
              <w:rPr>
                <w:rFonts w:ascii="Calibri" w:hAnsi="Calibri" w:cs="Calibri" w:eastAsia="Calibri"/>
                <w:sz w:val="22"/>
              </w:rPr>
              <w:t>0.453</w:t>
            </w:r>
          </w:p>
        </w:tc>
        <w:tc>
          <w:tcPr>
            <w:tcW w:type="dxa" w:w="1662"/>
          </w:tcPr>
          <w:p>
            <w:r/>
            <w:r>
              <w:rPr>
                <w:rFonts w:ascii="Calibri" w:hAnsi="Calibri" w:cs="Calibri" w:eastAsia="Calibri"/>
                <w:sz w:val="22"/>
              </w:rPr>
              <w:t>57</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0.487</w:t>
            </w:r>
          </w:p>
        </w:tc>
        <w:tc>
          <w:tcPr>
            <w:tcW w:type="dxa" w:w="1662"/>
          </w:tcPr>
          <w:p>
            <w:r/>
            <w:r>
              <w:rPr>
                <w:rFonts w:ascii="Calibri" w:hAnsi="Calibri" w:cs="Calibri" w:eastAsia="Calibri"/>
                <w:sz w:val="22"/>
              </w:rPr>
              <w:t>0.543</w:t>
            </w:r>
          </w:p>
        </w:tc>
        <w:tc>
          <w:tcPr>
            <w:tcW w:type="dxa" w:w="1662"/>
          </w:tcPr>
          <w:p>
            <w:r/>
            <w:r>
              <w:rPr>
                <w:rFonts w:ascii="Calibri" w:hAnsi="Calibri" w:cs="Calibri" w:eastAsia="Calibri"/>
                <w:sz w:val="22"/>
              </w:rPr>
              <w:t>0.514</w:t>
            </w:r>
          </w:p>
        </w:tc>
        <w:tc>
          <w:tcPr>
            <w:tcW w:type="dxa" w:w="1662"/>
          </w:tcPr>
          <w:p>
            <w:r/>
            <w:r>
              <w:rPr>
                <w:rFonts w:ascii="Calibri" w:hAnsi="Calibri" w:cs="Calibri" w:eastAsia="Calibri"/>
                <w:sz w:val="22"/>
              </w:rPr>
              <w:t>35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0.562</w:t>
            </w:r>
          </w:p>
        </w:tc>
        <w:tc>
          <w:tcPr>
            <w:tcW w:type="dxa" w:w="1662"/>
          </w:tcPr>
          <w:p>
            <w:r/>
            <w:r>
              <w:rPr>
                <w:rFonts w:ascii="Calibri" w:hAnsi="Calibri" w:cs="Calibri" w:eastAsia="Calibri"/>
                <w:sz w:val="22"/>
              </w:rPr>
              <w:t>0.346</w:t>
            </w:r>
          </w:p>
        </w:tc>
        <w:tc>
          <w:tcPr>
            <w:tcW w:type="dxa" w:w="1662"/>
          </w:tcPr>
          <w:p>
            <w:r/>
            <w:r>
              <w:rPr>
                <w:rFonts w:ascii="Calibri" w:hAnsi="Calibri" w:cs="Calibri" w:eastAsia="Calibri"/>
                <w:sz w:val="22"/>
              </w:rPr>
              <w:t>0.429</w:t>
            </w:r>
          </w:p>
        </w:tc>
        <w:tc>
          <w:tcPr>
            <w:tcW w:type="dxa" w:w="1662"/>
          </w:tcPr>
          <w:p>
            <w:r/>
            <w:r>
              <w:rPr>
                <w:rFonts w:ascii="Calibri" w:hAnsi="Calibri" w:cs="Calibri" w:eastAsia="Calibri"/>
                <w:sz w:val="22"/>
              </w:rPr>
              <w:t>26</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0.593</w:t>
            </w:r>
          </w:p>
        </w:tc>
        <w:tc>
          <w:tcPr>
            <w:tcW w:type="dxa" w:w="1662"/>
          </w:tcPr>
          <w:p>
            <w:r/>
            <w:r>
              <w:rPr>
                <w:rFonts w:ascii="Calibri" w:hAnsi="Calibri" w:cs="Calibri" w:eastAsia="Calibri"/>
                <w:sz w:val="22"/>
              </w:rPr>
              <w:t>0.622</w:t>
            </w:r>
          </w:p>
        </w:tc>
        <w:tc>
          <w:tcPr>
            <w:tcW w:type="dxa" w:w="1662"/>
          </w:tcPr>
          <w:p>
            <w:r/>
            <w:r>
              <w:rPr>
                <w:rFonts w:ascii="Calibri" w:hAnsi="Calibri" w:cs="Calibri" w:eastAsia="Calibri"/>
                <w:sz w:val="22"/>
              </w:rPr>
              <w:t>0.607</w:t>
            </w:r>
          </w:p>
        </w:tc>
        <w:tc>
          <w:tcPr>
            <w:tcW w:type="dxa" w:w="1662"/>
          </w:tcPr>
          <w:p>
            <w:r/>
            <w:r>
              <w:rPr>
                <w:rFonts w:ascii="Calibri" w:hAnsi="Calibri" w:cs="Calibri" w:eastAsia="Calibri"/>
                <w:sz w:val="22"/>
              </w:rPr>
              <w:t>82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0.650</w:t>
            </w:r>
          </w:p>
        </w:tc>
        <w:tc>
          <w:tcPr>
            <w:tcW w:type="dxa" w:w="1662"/>
          </w:tcPr>
          <w:p>
            <w:r/>
            <w:r>
              <w:rPr>
                <w:rFonts w:ascii="Calibri" w:hAnsi="Calibri" w:cs="Calibri" w:eastAsia="Calibri"/>
                <w:sz w:val="22"/>
              </w:rPr>
              <w:t>0.703</w:t>
            </w:r>
          </w:p>
        </w:tc>
        <w:tc>
          <w:tcPr>
            <w:tcW w:type="dxa" w:w="1662"/>
          </w:tcPr>
          <w:p>
            <w:r/>
            <w:r>
              <w:rPr>
                <w:rFonts w:ascii="Calibri" w:hAnsi="Calibri" w:cs="Calibri" w:eastAsia="Calibri"/>
                <w:sz w:val="22"/>
              </w:rPr>
              <w:t>0.675</w:t>
            </w:r>
          </w:p>
        </w:tc>
        <w:tc>
          <w:tcPr>
            <w:tcW w:type="dxa" w:w="1662"/>
          </w:tcPr>
          <w:p>
            <w:r/>
            <w:r>
              <w:rPr>
                <w:rFonts w:ascii="Calibri" w:hAnsi="Calibri" w:cs="Calibri" w:eastAsia="Calibri"/>
                <w:sz w:val="22"/>
              </w:rPr>
              <w:t>74</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0.757</w:t>
            </w:r>
          </w:p>
        </w:tc>
        <w:tc>
          <w:tcPr>
            <w:tcW w:type="dxa" w:w="1662"/>
          </w:tcPr>
          <w:p>
            <w:r/>
            <w:r>
              <w:rPr>
                <w:rFonts w:ascii="Calibri" w:hAnsi="Calibri" w:cs="Calibri" w:eastAsia="Calibri"/>
                <w:sz w:val="22"/>
              </w:rPr>
              <w:t>0.659</w:t>
            </w:r>
          </w:p>
        </w:tc>
        <w:tc>
          <w:tcPr>
            <w:tcW w:type="dxa" w:w="1662"/>
          </w:tcPr>
          <w:p>
            <w:r/>
            <w:r>
              <w:rPr>
                <w:rFonts w:ascii="Calibri" w:hAnsi="Calibri" w:cs="Calibri" w:eastAsia="Calibri"/>
                <w:sz w:val="22"/>
              </w:rPr>
              <w:t>37</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0.450</w:t>
            </w:r>
          </w:p>
        </w:tc>
        <w:tc>
          <w:tcPr>
            <w:tcW w:type="dxa" w:w="1662"/>
          </w:tcPr>
          <w:p>
            <w:r/>
            <w:r>
              <w:rPr>
                <w:rFonts w:ascii="Calibri" w:hAnsi="Calibri" w:cs="Calibri" w:eastAsia="Calibri"/>
                <w:sz w:val="22"/>
              </w:rPr>
              <w:t>0.321</w:t>
            </w:r>
          </w:p>
        </w:tc>
        <w:tc>
          <w:tcPr>
            <w:tcW w:type="dxa" w:w="1662"/>
          </w:tcPr>
          <w:p>
            <w:r/>
            <w:r>
              <w:rPr>
                <w:rFonts w:ascii="Calibri" w:hAnsi="Calibri" w:cs="Calibri" w:eastAsia="Calibri"/>
                <w:sz w:val="22"/>
              </w:rPr>
              <w:t>0.375</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0.691</w:t>
            </w:r>
          </w:p>
        </w:tc>
        <w:tc>
          <w:tcPr>
            <w:tcW w:type="dxa" w:w="1662"/>
          </w:tcPr>
          <w:p>
            <w:r/>
            <w:r>
              <w:rPr>
                <w:rFonts w:ascii="Calibri" w:hAnsi="Calibri" w:cs="Calibri" w:eastAsia="Calibri"/>
                <w:sz w:val="22"/>
              </w:rPr>
              <w:t>0.730</w:t>
            </w:r>
          </w:p>
        </w:tc>
        <w:tc>
          <w:tcPr>
            <w:tcW w:type="dxa" w:w="1662"/>
          </w:tcPr>
          <w:p>
            <w:r/>
            <w:r>
              <w:rPr>
                <w:rFonts w:ascii="Calibri" w:hAnsi="Calibri" w:cs="Calibri" w:eastAsia="Calibri"/>
                <w:sz w:val="22"/>
              </w:rPr>
              <w:t>0.710</w:t>
            </w:r>
          </w:p>
        </w:tc>
        <w:tc>
          <w:tcPr>
            <w:tcW w:type="dxa" w:w="1662"/>
          </w:tcPr>
          <w:p>
            <w:r/>
            <w:r>
              <w:rPr>
                <w:rFonts w:ascii="Calibri" w:hAnsi="Calibri" w:cs="Calibri" w:eastAsia="Calibri"/>
                <w:sz w:val="22"/>
              </w:rPr>
              <w:t>89</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0.627</w:t>
            </w:r>
          </w:p>
        </w:tc>
        <w:tc>
          <w:tcPr>
            <w:tcW w:type="dxa" w:w="1662"/>
          </w:tcPr>
          <w:p>
            <w:r/>
            <w:r>
              <w:rPr>
                <w:rFonts w:ascii="Calibri" w:hAnsi="Calibri" w:cs="Calibri" w:eastAsia="Calibri"/>
                <w:sz w:val="22"/>
              </w:rPr>
              <w:t>0.604</w:t>
            </w:r>
          </w:p>
        </w:tc>
        <w:tc>
          <w:tcPr>
            <w:tcW w:type="dxa" w:w="1662"/>
          </w:tcPr>
          <w:p>
            <w:r/>
            <w:r>
              <w:rPr>
                <w:rFonts w:ascii="Calibri" w:hAnsi="Calibri" w:cs="Calibri" w:eastAsia="Calibri"/>
                <w:sz w:val="22"/>
              </w:rPr>
              <w:t>67</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0.551</w:t>
            </w:r>
          </w:p>
        </w:tc>
        <w:tc>
          <w:tcPr>
            <w:tcW w:type="dxa" w:w="1662"/>
          </w:tcPr>
          <w:p>
            <w:r/>
            <w:r>
              <w:rPr>
                <w:rFonts w:ascii="Calibri" w:hAnsi="Calibri" w:cs="Calibri" w:eastAsia="Calibri"/>
                <w:sz w:val="22"/>
              </w:rPr>
              <w:t>0.559</w:t>
            </w:r>
          </w:p>
        </w:tc>
        <w:tc>
          <w:tcPr>
            <w:tcW w:type="dxa" w:w="1662"/>
          </w:tcPr>
          <w:p>
            <w:r/>
            <w:r>
              <w:rPr>
                <w:rFonts w:ascii="Calibri" w:hAnsi="Calibri" w:cs="Calibri" w:eastAsia="Calibri"/>
                <w:sz w:val="22"/>
              </w:rPr>
              <w:t>0.555</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0.610</w:t>
            </w:r>
          </w:p>
        </w:tc>
        <w:tc>
          <w:tcPr>
            <w:tcW w:type="dxa" w:w="1662"/>
          </w:tcPr>
          <w:p>
            <w:r/>
            <w:r>
              <w:rPr>
                <w:rFonts w:ascii="Calibri" w:hAnsi="Calibri" w:cs="Calibri" w:eastAsia="Calibri"/>
                <w:sz w:val="22"/>
              </w:rPr>
              <w:t>0.532</w:t>
            </w:r>
          </w:p>
        </w:tc>
        <w:tc>
          <w:tcPr>
            <w:tcW w:type="dxa" w:w="1662"/>
          </w:tcPr>
          <w:p>
            <w:r/>
            <w:r>
              <w:rPr>
                <w:rFonts w:ascii="Calibri" w:hAnsi="Calibri" w:cs="Calibri" w:eastAsia="Calibri"/>
                <w:sz w:val="22"/>
              </w:rPr>
              <w:t>0.568</w:t>
            </w:r>
          </w:p>
        </w:tc>
        <w:tc>
          <w:tcPr>
            <w:tcW w:type="dxa" w:w="1662"/>
          </w:tcPr>
          <w:p>
            <w:r/>
            <w:r>
              <w:rPr>
                <w:rFonts w:ascii="Calibri" w:hAnsi="Calibri" w:cs="Calibri" w:eastAsia="Calibri"/>
                <w:sz w:val="22"/>
              </w:rPr>
              <w:t>47</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0.658</w:t>
            </w:r>
          </w:p>
        </w:tc>
        <w:tc>
          <w:tcPr>
            <w:tcW w:type="dxa" w:w="1662"/>
          </w:tcPr>
          <w:p>
            <w:r/>
            <w:r>
              <w:rPr>
                <w:rFonts w:ascii="Calibri" w:hAnsi="Calibri" w:cs="Calibri" w:eastAsia="Calibri"/>
                <w:sz w:val="22"/>
              </w:rPr>
              <w:t>0.588</w:t>
            </w:r>
          </w:p>
        </w:tc>
        <w:tc>
          <w:tcPr>
            <w:tcW w:type="dxa" w:w="1662"/>
          </w:tcPr>
          <w:p>
            <w:r/>
            <w:r>
              <w:rPr>
                <w:rFonts w:ascii="Calibri" w:hAnsi="Calibri" w:cs="Calibri" w:eastAsia="Calibri"/>
                <w:sz w:val="22"/>
              </w:rPr>
              <w:t>0.621</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0.526</w:t>
            </w:r>
          </w:p>
        </w:tc>
        <w:tc>
          <w:tcPr>
            <w:tcW w:type="dxa" w:w="1662"/>
          </w:tcPr>
          <w:p>
            <w:r/>
            <w:r>
              <w:rPr>
                <w:rFonts w:ascii="Calibri" w:hAnsi="Calibri" w:cs="Calibri" w:eastAsia="Calibri"/>
                <w:sz w:val="22"/>
              </w:rPr>
              <w:t>0.552</w:t>
            </w:r>
          </w:p>
        </w:tc>
        <w:tc>
          <w:tcPr>
            <w:tcW w:type="dxa" w:w="1662"/>
          </w:tcPr>
          <w:p>
            <w:r/>
            <w:r>
              <w:rPr>
                <w:rFonts w:ascii="Calibri" w:hAnsi="Calibri" w:cs="Calibri" w:eastAsia="Calibri"/>
                <w:sz w:val="22"/>
              </w:rPr>
              <w:t>0.539</w:t>
            </w:r>
          </w:p>
        </w:tc>
        <w:tc>
          <w:tcPr>
            <w:tcW w:type="dxa" w:w="1662"/>
          </w:tcPr>
          <w:p>
            <w:r/>
            <w:r>
              <w:rPr>
                <w:rFonts w:ascii="Calibri" w:hAnsi="Calibri" w:cs="Calibri" w:eastAsia="Calibri"/>
                <w:sz w:val="22"/>
              </w:rPr>
              <w:t>58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0.617</w:t>
            </w:r>
          </w:p>
        </w:tc>
        <w:tc>
          <w:tcPr>
            <w:tcW w:type="dxa" w:w="1662"/>
          </w:tcPr>
          <w:p>
            <w:r/>
            <w:r>
              <w:rPr>
                <w:rFonts w:ascii="Calibri" w:hAnsi="Calibri" w:cs="Calibri" w:eastAsia="Calibri"/>
                <w:sz w:val="22"/>
              </w:rPr>
              <w:t>0.661</w:t>
            </w:r>
          </w:p>
        </w:tc>
        <w:tc>
          <w:tcPr>
            <w:tcW w:type="dxa" w:w="1662"/>
          </w:tcPr>
          <w:p>
            <w:r/>
            <w:r>
              <w:rPr>
                <w:rFonts w:ascii="Calibri" w:hAnsi="Calibri" w:cs="Calibri" w:eastAsia="Calibri"/>
                <w:sz w:val="22"/>
              </w:rPr>
              <w:t>0.638</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29</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153</w:t>
            </w:r>
          </w:p>
        </w:tc>
      </w:tr>
    </w:tbl>
    <w:p>
      <w:pPr>
        <w:spacing w:after="120"/>
      </w:pPr>
    </w:p>
    <w:p>
      <w:pPr>
        <w:spacing w:after="160"/>
      </w:pPr>
      <w:r>
        <w:rPr>
          <w:rFonts w:ascii="Calibri" w:hAnsi="Calibri" w:cs="Calibri" w:eastAsia="Calibri"/>
          <w:b/>
          <w:sz w:val="22"/>
        </w:rPr>
        <w:t>Table 9. Top 5 most important features per factor (from `feature_importances_` for tree-ensemble models). Force and Posture are omitted because the best model for both is HistGradientBoosting, which does not expose split-based importances directly; the Figure 10 panel is built from a parallel logistic-coefficient fit instead.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Rank 1</w:t>
            </w:r>
          </w:p>
        </w:tc>
        <w:tc>
          <w:tcPr>
            <w:tcW w:type="dxa" w:w="1662"/>
            <w:shd w:fill="1F3B73"/>
          </w:tcPr>
          <w:p>
            <w:r/>
            <w:r>
              <w:rPr>
                <w:rFonts w:ascii="Calibri" w:hAnsi="Calibri" w:cs="Calibri" w:eastAsia="Calibri"/>
                <w:b/>
                <w:color w:val="FFFFFF"/>
                <w:sz w:val="20"/>
              </w:rPr>
              <w:t>Rank 2</w:t>
            </w:r>
          </w:p>
        </w:tc>
        <w:tc>
          <w:tcPr>
            <w:tcW w:type="dxa" w:w="1662"/>
            <w:shd w:fill="1F3B73"/>
          </w:tcPr>
          <w:p>
            <w:r/>
            <w:r>
              <w:rPr>
                <w:rFonts w:ascii="Calibri" w:hAnsi="Calibri" w:cs="Calibri" w:eastAsia="Calibri"/>
                <w:b/>
                <w:color w:val="FFFFFF"/>
                <w:sz w:val="20"/>
              </w:rPr>
              <w:t>Rank 3</w:t>
            </w:r>
          </w:p>
        </w:tc>
        <w:tc>
          <w:tcPr>
            <w:tcW w:type="dxa" w:w="1662"/>
            <w:shd w:fill="1F3B73"/>
          </w:tcPr>
          <w:p>
            <w:r/>
            <w:r>
              <w:rPr>
                <w:rFonts w:ascii="Calibri" w:hAnsi="Calibri" w:cs="Calibri" w:eastAsia="Calibri"/>
                <w:b/>
                <w:color w:val="FFFFFF"/>
                <w:sz w:val="20"/>
              </w:rPr>
              <w:t>Rank 4</w:t>
            </w:r>
          </w:p>
        </w:tc>
        <w:tc>
          <w:tcPr>
            <w:tcW w:type="dxa" w:w="1662"/>
            <w:shd w:fill="1F3B73"/>
          </w:tcPr>
          <w:p>
            <w:r/>
            <w:r>
              <w:rPr>
                <w:rFonts w:ascii="Calibri" w:hAnsi="Calibri" w:cs="Calibri" w:eastAsia="Calibri"/>
                <w:b/>
                <w:color w:val="FFFFFF"/>
                <w:sz w:val="20"/>
              </w:rPr>
              <w:t>Rank 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out_riding_worsens</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fatigue_x_jobdur</w:t>
            </w:r>
          </w:p>
        </w:tc>
        <w:tc>
          <w:tcPr>
            <w:tcW w:type="dxa" w:w="1662"/>
          </w:tcPr>
          <w:p>
            <w:r/>
            <w:r>
              <w:rPr>
                <w:rFonts w:ascii="Calibri" w:hAnsi="Calibri" w:cs="Calibri" w:eastAsia="Calibri"/>
                <w:sz w:val="22"/>
              </w:rPr>
              <w:t>rest_break_num</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rest_break_num</w:t>
            </w:r>
          </w:p>
        </w:tc>
        <w:tc>
          <w:tcPr>
            <w:tcW w:type="dxa" w:w="1662"/>
          </w:tcPr>
          <w:p>
            <w:r/>
            <w:r>
              <w:rPr>
                <w:rFonts w:ascii="Calibri" w:hAnsi="Calibri" w:cs="Calibri" w:eastAsia="Calibri"/>
                <w:sz w:val="22"/>
              </w:rPr>
              <w:t>workload_score</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workload_x_age</w:t>
            </w:r>
          </w:p>
        </w:tc>
        <w:tc>
          <w:tcPr>
            <w:tcW w:type="dxa" w:w="1662"/>
          </w:tcPr>
          <w:p>
            <w:r/>
            <w:r>
              <w:rPr>
                <w:rFonts w:ascii="Calibri" w:hAnsi="Calibri" w:cs="Calibri" w:eastAsia="Calibri"/>
                <w:sz w:val="22"/>
              </w:rPr>
              <w:t>deliv_x_days</w:t>
            </w:r>
          </w:p>
        </w:tc>
      </w:tr>
    </w:tbl>
    <w:p>
      <w:pPr>
        <w:spacing w:after="120"/>
      </w:pPr>
    </w:p>
    <w:p>
      <w:pPr>
        <w:spacing w:before="160" w:after="4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00"/>
        <w:jc w:val="center"/>
      </w:pPr>
      <w:r>
        <w:rPr>
          <w:rFonts w:ascii="Calibri" w:hAnsi="Calibri" w:cs="Calibri" w:eastAsia="Calibri"/>
          <w:i/>
          <w:color w:val="555555"/>
          <w:sz w:val="20"/>
        </w:rPr>
        <w:t>Figure 8. Confusion matrices for the best model per factor (rows = true class, columns = predicted class).</w:t>
      </w:r>
    </w:p>
    <w:p>
      <w:pPr>
        <w:spacing w:before="160" w:after="4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00"/>
        <w:jc w:val="center"/>
      </w:pPr>
      <w:r>
        <w:rPr>
          <w:rFonts w:ascii="Calibri" w:hAnsi="Calibri" w:cs="Calibri" w:eastAsia="Calibri"/>
          <w:i/>
          <w:color w:val="555555"/>
          <w:sz w:val="20"/>
        </w:rPr>
        <w:t>Figure 9. ROC curves (one-vs-rest) for the best model per factor.</w:t>
      </w:r>
    </w:p>
    <w:p>
      <w:pPr>
        <w:spacing w:before="160" w:after="4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00"/>
        <w:jc w:val="center"/>
      </w:pPr>
      <w:r>
        <w:rPr>
          <w:rFonts w:ascii="Calibri" w:hAnsi="Calibri" w:cs="Calibri" w:eastAsia="Calibri"/>
          <w:i/>
          <w:color w:val="555555"/>
          <w:sz w:val="20"/>
        </w:rPr>
        <w:t>Figure 10. Top 10 features by importance for the best model per factor.</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spacing w:before="160" w:after="40"/>
        <w:jc w:val="center"/>
      </w:pPr>
      <w:r>
        <w:drawing>
          <wp:inline xmlns:a="http://schemas.openxmlformats.org/drawingml/2006/main" xmlns:pic="http://schemas.openxmlformats.org/drawingml/2006/picture">
            <wp:extent cx="5400000" cy="3206250"/>
            <wp:docPr id="11" name="Picture 11"/>
            <wp:cNvGraphicFramePr>
              <a:graphicFrameLocks noChangeAspect="1"/>
            </wp:cNvGraphicFramePr>
            <a:graphic>
              <a:graphicData uri="http://schemas.openxmlformats.org/drawingml/2006/picture">
                <pic:pic>
                  <pic:nvPicPr>
                    <pic:cNvPr id="0" name="web_01_header_demographic.png"/>
                    <pic:cNvPicPr/>
                  </pic:nvPicPr>
                  <pic:blipFill>
                    <a:blip r:embed="rId19"/>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11. Web interface, header and sample-profile shortcuts above the demographic section (Q1-17).</w:t>
      </w:r>
    </w:p>
    <w:p>
      <w:pPr>
        <w:spacing w:before="160" w:after="40"/>
        <w:jc w:val="center"/>
      </w:pPr>
      <w:r>
        <w:drawing>
          <wp:inline xmlns:a="http://schemas.openxmlformats.org/drawingml/2006/main" xmlns:pic="http://schemas.openxmlformats.org/drawingml/2006/picture">
            <wp:extent cx="5400000" cy="3206250"/>
            <wp:docPr id="12" name="Picture 12"/>
            <wp:cNvGraphicFramePr>
              <a:graphicFrameLocks noChangeAspect="1"/>
            </wp:cNvGraphicFramePr>
            <a:graphic>
              <a:graphicData uri="http://schemas.openxmlformats.org/drawingml/2006/picture">
                <pic:pic>
                  <pic:nvPicPr>
                    <pic:cNvPr id="0" name="web_02_nmq.png"/>
                    <pic:cNvPicPr/>
                  </pic:nvPicPr>
                  <pic:blipFill>
                    <a:blip r:embed="rId20"/>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12. Web interface, Nordic Musculoskeletal Questionnaire (Q18-24).</w:t>
      </w:r>
    </w:p>
    <w:p>
      <w:pPr>
        <w:spacing w:before="160" w:after="40"/>
        <w:jc w:val="center"/>
      </w:pPr>
      <w:r>
        <w:drawing>
          <wp:inline xmlns:a="http://schemas.openxmlformats.org/drawingml/2006/main" xmlns:pic="http://schemas.openxmlformats.org/drawingml/2006/picture">
            <wp:extent cx="5400000" cy="3206250"/>
            <wp:docPr id="13" name="Picture 13"/>
            <wp:cNvGraphicFramePr>
              <a:graphicFrameLocks noChangeAspect="1"/>
            </wp:cNvGraphicFramePr>
            <a:graphic>
              <a:graphicData uri="http://schemas.openxmlformats.org/drawingml/2006/picture">
                <pic:pic>
                  <pic:nvPicPr>
                    <pic:cNvPr id="0" name="web_03_nasa_borg.png"/>
                    <pic:cNvPicPr/>
                  </pic:nvPicPr>
                  <pic:blipFill>
                    <a:blip r:embed="rId21"/>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13. Web interface, NASA-TLX workload (Q25-30) and Borg CR10 fatigue (Q31-36) sliders.</w:t>
      </w:r>
    </w:p>
    <w:p>
      <w:pPr>
        <w:spacing w:before="160" w:after="40"/>
        <w:jc w:val="center"/>
      </w:pPr>
      <w:r>
        <w:drawing>
          <wp:inline xmlns:a="http://schemas.openxmlformats.org/drawingml/2006/main" xmlns:pic="http://schemas.openxmlformats.org/drawingml/2006/picture">
            <wp:extent cx="5400000" cy="3206250"/>
            <wp:docPr id="14" name="Picture 14"/>
            <wp:cNvGraphicFramePr>
              <a:graphicFrameLocks noChangeAspect="1"/>
            </wp:cNvGraphicFramePr>
            <a:graphic>
              <a:graphicData uri="http://schemas.openxmlformats.org/drawingml/2006/picture">
                <pic:pic>
                  <pic:nvPicPr>
                    <pic:cNvPr id="0" name="web_04_rula_qec.png"/>
                    <pic:cNvPicPr/>
                  </pic:nvPicPr>
                  <pic:blipFill>
                    <a:blip r:embed="rId22"/>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14. Web interface, RULA posture observation (11 inputs) and Quick Exposure Check (8 inputs) followed by the Predict button.</w:t>
      </w:r>
    </w:p>
    <w:p>
      <w:pPr>
        <w:spacing w:before="160" w:after="40"/>
        <w:jc w:val="center"/>
      </w:pPr>
      <w:r>
        <w:drawing>
          <wp:inline xmlns:a="http://schemas.openxmlformats.org/drawingml/2006/main" xmlns:pic="http://schemas.openxmlformats.org/drawingml/2006/picture">
            <wp:extent cx="5400000" cy="3206250"/>
            <wp:docPr id="15" name="Picture 15"/>
            <wp:cNvGraphicFramePr>
              <a:graphicFrameLocks noChangeAspect="1"/>
            </wp:cNvGraphicFramePr>
            <a:graphic>
              <a:graphicData uri="http://schemas.openxmlformats.org/drawingml/2006/picture">
                <pic:pic>
                  <pic:nvPicPr>
                    <pic:cNvPr id="0" name="web_05_prediction_output.png"/>
                    <pic:cNvPicPr/>
                  </pic:nvPicPr>
                  <pic:blipFill>
                    <a:blip r:embed="rId23"/>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15. Web interface, predicted risk profile with colour-coded bars per factor, summary banner, and risk-band recommendations.</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