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b/>
          <w:bCs/>
          <w:color w:val="BC6AFF"/>
          <w:sz w:val="40"/>
          <w:szCs w:val="40"/>
        </w:rPr>
        <w:t xml:space="preserve">VANTRO</w:t>
      </w:r>
    </w:p>
    <w:p>
      <w:pPr>
        <w:spacing w:after="240"/>
        <w:jc w:val="center"/>
      </w:pPr>
      <w:r>
        <w:rPr>
          <w:b/>
          <w:bCs/>
          <w:sz w:val="32"/>
          <w:szCs w:val="32"/>
        </w:rPr>
        <w:t xml:space="preserve">Data Processing Agreement</w:t>
      </w:r>
    </w:p>
    <w:p>
      <w:pPr>
        <w:spacing w:after="480"/>
        <w:jc w:val="center"/>
      </w:pPr>
      <w:r>
        <w:rPr>
          <w:i/>
          <w:iCs/>
          <w:color w:val="666666"/>
          <w:sz w:val="22"/>
          <w:szCs w:val="22"/>
        </w:rPr>
        <w:t xml:space="preserve">Version 1.0 · 20 May 2026</w:t>
      </w:r>
    </w:p>
    <w:p>
      <w:pPr>
        <w:pStyle w:val="Heading2"/>
      </w:pPr>
      <w:r>
        <w:t xml:space="preserve">Parties</w:t>
      </w:r>
    </w:p>
    <w:p>
      <w:pPr>
        <w:spacing w:after="120"/>
      </w:pPr>
      <w:r>
        <w:t xml:space="preserve">This Data Processing Agreement ("DPA") forms part of the agreement between:</w:t>
      </w:r>
    </w:p>
    <w:p>
      <w:pPr>
        <w:spacing w:after="120"/>
      </w:pPr>
      <w:r>
        <w:rPr>
          <w:b/>
          <w:bCs/>
        </w:rPr>
        <w:t xml:space="preserve">Controller: </w:t>
      </w:r>
      <w:r>
        <w:t xml:space="preserve">the Customer entering into a Vantro subscription (the "Controller")</w:t>
      </w:r>
    </w:p>
    <w:p>
      <w:pPr>
        <w:spacing w:after="120"/>
      </w:pPr>
      <w:r>
        <w:rPr>
          <w:b/>
          <w:bCs/>
        </w:rPr>
        <w:t xml:space="preserve">Processor: </w:t>
      </w:r>
      <w:r>
        <w:t xml:space="preserve">CNNCTD Ltd (trading as Vantro), company number NI695071 (the "Processor")</w:t>
      </w:r>
    </w:p>
    <w:p>
      <w:pPr>
        <w:spacing w:after="120"/>
      </w:pPr>
      <w:r>
        <w:t xml:space="preserve">Together referred to as the "Parties".</w:t>
      </w:r>
    </w:p>
    <w:p>
      <w:pPr>
        <w:pStyle w:val="Heading2"/>
      </w:pPr>
      <w:r>
        <w:t xml:space="preserve">1. Scope and roles</w:t>
      </w:r>
    </w:p>
    <w:p>
      <w:pPr>
        <w:spacing w:after="120"/>
      </w:pPr>
      <w:r>
        <w:t xml:space="preserve">This DPA applies to the Processor's processing of Personal Data on behalf of the Controller in connection with the Vantro service.</w:t>
      </w:r>
    </w:p>
    <w:p>
      <w:pPr>
        <w:spacing w:after="120"/>
      </w:pPr>
      <w:r>
        <w:t xml:space="preserve">The Controller determines the purposes and means of processing. The Processor acts only on the Controller's documented instructions.</w:t>
      </w:r>
    </w:p>
    <w:p>
      <w:pPr>
        <w:pStyle w:val="Heading2"/>
      </w:pPr>
      <w:r>
        <w:t xml:space="preserve">2. Definitions</w:t>
      </w:r>
    </w:p>
    <w:p>
      <w:pPr>
        <w:spacing w:after="120"/>
      </w:pPr>
      <w:r>
        <w:t xml:space="preserve">Terms used in this DPA have the meaning given in UK GDPR, including "Personal Data", "Processing", "Data Subject", "Controller", "Processor", and "Sub-processor".</w:t>
      </w:r>
    </w:p>
    <w:p>
      <w:pPr>
        <w:pStyle w:val="Heading2"/>
      </w:pPr>
      <w:r>
        <w:t xml:space="preserve">3. Schedule of personal data</w:t>
      </w:r>
    </w:p>
    <w:p>
      <w:pPr>
        <w:spacing w:after="120"/>
      </w:pPr>
      <w:r>
        <w:t xml:space="preserve">The Processor processes the following categories of Personal Data on the Controller's behalf:</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DDDDD" w:sz="4"/>
              <w:left w:val="single" w:color="DDDDDD" w:sz="4"/>
              <w:bottom w:val="single" w:color="DDDDDD" w:sz="4"/>
              <w:right w:val="single" w:color="DDDDDD" w:sz="4"/>
            </w:tcBorders>
            <w:shd w:fill="F5F5F7" w:val="clear"/>
            <w:tcMar>
              <w:top w:type="dxa" w:w="100"/>
              <w:left w:type="dxa" w:w="140"/>
              <w:bottom w:type="dxa" w:w="100"/>
              <w:right w:type="dxa" w:w="140"/>
            </w:tcMar>
          </w:tcPr>
          <w:p>
            <w:r>
              <w:rPr>
                <w:b/>
                <w:bCs/>
                <w:sz w:val="20"/>
                <w:szCs w:val="20"/>
              </w:rPr>
              <w:t xml:space="preserve">Data subjects</w:t>
            </w:r>
          </w:p>
        </w:tc>
        <w:tc>
          <w:tcPr>
            <w:tcW w:type="dxa" w:w="624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sz w:val="20"/>
                <w:szCs w:val="20"/>
              </w:rPr>
              <w:t xml:space="preserve">Controller's employees, contractors, and end-clients.</w:t>
            </w:r>
          </w:p>
        </w:tc>
      </w:tr>
      <w:tr>
        <w:tc>
          <w:tcPr>
            <w:tcW w:type="dxa" w:w="3120"/>
            <w:tcBorders>
              <w:top w:val="single" w:color="DDDDDD" w:sz="4"/>
              <w:left w:val="single" w:color="DDDDDD" w:sz="4"/>
              <w:bottom w:val="single" w:color="DDDDDD" w:sz="4"/>
              <w:right w:val="single" w:color="DDDDDD" w:sz="4"/>
            </w:tcBorders>
            <w:shd w:fill="F5F5F7" w:val="clear"/>
            <w:tcMar>
              <w:top w:type="dxa" w:w="100"/>
              <w:left w:type="dxa" w:w="140"/>
              <w:bottom w:type="dxa" w:w="100"/>
              <w:right w:type="dxa" w:w="140"/>
            </w:tcMar>
          </w:tcPr>
          <w:p>
            <w:r>
              <w:rPr>
                <w:b/>
                <w:bCs/>
                <w:sz w:val="20"/>
                <w:szCs w:val="20"/>
              </w:rPr>
              <w:t xml:space="preserve">Categories of data</w:t>
            </w:r>
          </w:p>
        </w:tc>
        <w:tc>
          <w:tcPr>
            <w:tcW w:type="dxa" w:w="624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sz w:val="20"/>
                <w:szCs w:val="20"/>
              </w:rPr>
              <w:t xml:space="preserve">Name, contact details, role, GPS location during signed-in shifts, sign-in / sign-out timestamps, diary entries, defect reports, photos and receipts uploaded by users, expense data, job allocation data.</w:t>
            </w:r>
          </w:p>
        </w:tc>
      </w:tr>
      <w:tr>
        <w:tc>
          <w:tcPr>
            <w:tcW w:type="dxa" w:w="3120"/>
            <w:tcBorders>
              <w:top w:val="single" w:color="DDDDDD" w:sz="4"/>
              <w:left w:val="single" w:color="DDDDDD" w:sz="4"/>
              <w:bottom w:val="single" w:color="DDDDDD" w:sz="4"/>
              <w:right w:val="single" w:color="DDDDDD" w:sz="4"/>
            </w:tcBorders>
            <w:shd w:fill="F5F5F7" w:val="clear"/>
            <w:tcMar>
              <w:top w:type="dxa" w:w="100"/>
              <w:left w:type="dxa" w:w="140"/>
              <w:bottom w:type="dxa" w:w="100"/>
              <w:right w:type="dxa" w:w="140"/>
            </w:tcMar>
          </w:tcPr>
          <w:p>
            <w:r>
              <w:rPr>
                <w:b/>
                <w:bCs/>
                <w:sz w:val="20"/>
                <w:szCs w:val="20"/>
              </w:rPr>
              <w:t xml:space="preserve">Special categories</w:t>
            </w:r>
          </w:p>
        </w:tc>
        <w:tc>
          <w:tcPr>
            <w:tcW w:type="dxa" w:w="624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sz w:val="20"/>
                <w:szCs w:val="20"/>
              </w:rPr>
              <w:t xml:space="preserve">None routinely processed. The Service does not solicit special category data. Where a user voluntarily includes such data in a free-text diary entry, it is processed only for the purpose of the Service.</w:t>
            </w:r>
          </w:p>
        </w:tc>
      </w:tr>
      <w:tr>
        <w:tc>
          <w:tcPr>
            <w:tcW w:type="dxa" w:w="3120"/>
            <w:tcBorders>
              <w:top w:val="single" w:color="DDDDDD" w:sz="4"/>
              <w:left w:val="single" w:color="DDDDDD" w:sz="4"/>
              <w:bottom w:val="single" w:color="DDDDDD" w:sz="4"/>
              <w:right w:val="single" w:color="DDDDDD" w:sz="4"/>
            </w:tcBorders>
            <w:shd w:fill="F5F5F7" w:val="clear"/>
            <w:tcMar>
              <w:top w:type="dxa" w:w="100"/>
              <w:left w:type="dxa" w:w="140"/>
              <w:bottom w:type="dxa" w:w="100"/>
              <w:right w:type="dxa" w:w="140"/>
            </w:tcMar>
          </w:tcPr>
          <w:p>
            <w:r>
              <w:rPr>
                <w:b/>
                <w:bCs/>
                <w:sz w:val="20"/>
                <w:szCs w:val="20"/>
              </w:rPr>
              <w:t xml:space="preserve">Processing operations</w:t>
            </w:r>
          </w:p>
        </w:tc>
        <w:tc>
          <w:tcPr>
            <w:tcW w:type="dxa" w:w="624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sz w:val="20"/>
                <w:szCs w:val="20"/>
              </w:rPr>
              <w:t xml:space="preserve">Storage, retrieval, analysis (including AI-assisted summary generation), display, audit pack generation, deletion on instruction.</w:t>
            </w:r>
          </w:p>
        </w:tc>
      </w:tr>
      <w:tr>
        <w:tc>
          <w:tcPr>
            <w:tcW w:type="dxa" w:w="3120"/>
            <w:tcBorders>
              <w:top w:val="single" w:color="DDDDDD" w:sz="4"/>
              <w:left w:val="single" w:color="DDDDDD" w:sz="4"/>
              <w:bottom w:val="single" w:color="DDDDDD" w:sz="4"/>
              <w:right w:val="single" w:color="DDDDDD" w:sz="4"/>
            </w:tcBorders>
            <w:shd w:fill="F5F5F7" w:val="clear"/>
            <w:tcMar>
              <w:top w:type="dxa" w:w="100"/>
              <w:left w:type="dxa" w:w="140"/>
              <w:bottom w:type="dxa" w:w="100"/>
              <w:right w:type="dxa" w:w="140"/>
            </w:tcMar>
          </w:tcPr>
          <w:p>
            <w:r>
              <w:rPr>
                <w:b/>
                <w:bCs/>
                <w:sz w:val="20"/>
                <w:szCs w:val="20"/>
              </w:rPr>
              <w:t xml:space="preserve">Duration</w:t>
            </w:r>
          </w:p>
        </w:tc>
        <w:tc>
          <w:tcPr>
            <w:tcW w:type="dxa" w:w="624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sz w:val="20"/>
                <w:szCs w:val="20"/>
              </w:rPr>
              <w:t xml:space="preserve">For the term of the subscription, plus retention periods specified in the Privacy Policy or in writing by the Controller.</w:t>
            </w:r>
          </w:p>
        </w:tc>
      </w:tr>
    </w:tbl>
    <w:p>
      <w:r>
        <w:t xml:space="preserve"/>
      </w:r>
    </w:p>
    <w:p>
      <w:pPr>
        <w:pStyle w:val="Heading2"/>
      </w:pPr>
      <w:r>
        <w:t xml:space="preserve">4. Processor obligations</w:t>
      </w:r>
    </w:p>
    <w:p>
      <w:pPr>
        <w:spacing w:after="120"/>
      </w:pPr>
      <w:r>
        <w:t xml:space="preserve">The Processor shall:</w:t>
      </w:r>
    </w:p>
    <w:p>
      <w:pPr>
        <w:pStyle w:val="ListParagraph"/>
        <w:numPr>
          <w:ilvl w:val="0"/>
          <w:numId w:val="2"/>
        </w:numPr>
        <w:spacing w:after="80"/>
      </w:pPr>
      <w:r>
        <w:t xml:space="preserve">Process Personal Data only on the documented instructions of the Controller.</w:t>
      </w:r>
    </w:p>
    <w:p>
      <w:pPr>
        <w:pStyle w:val="ListParagraph"/>
        <w:numPr>
          <w:ilvl w:val="0"/>
          <w:numId w:val="2"/>
        </w:numPr>
        <w:spacing w:after="80"/>
      </w:pPr>
      <w:r>
        <w:t xml:space="preserve">Ensure persons authorised to process the Personal Data are bound by an obligation of confidentiality.</w:t>
      </w:r>
    </w:p>
    <w:p>
      <w:pPr>
        <w:pStyle w:val="ListParagraph"/>
        <w:numPr>
          <w:ilvl w:val="0"/>
          <w:numId w:val="2"/>
        </w:numPr>
        <w:spacing w:after="80"/>
      </w:pPr>
      <w:r>
        <w:t xml:space="preserve">Implement appropriate technical and organisational measures (see Schedule of Security Measures below).</w:t>
      </w:r>
    </w:p>
    <w:p>
      <w:pPr>
        <w:pStyle w:val="ListParagraph"/>
        <w:numPr>
          <w:ilvl w:val="0"/>
          <w:numId w:val="2"/>
        </w:numPr>
        <w:spacing w:after="80"/>
      </w:pPr>
      <w:r>
        <w:t xml:space="preserve">Engage Sub-processors only as permitted in Section 5.</w:t>
      </w:r>
    </w:p>
    <w:p>
      <w:pPr>
        <w:pStyle w:val="ListParagraph"/>
        <w:numPr>
          <w:ilvl w:val="0"/>
          <w:numId w:val="2"/>
        </w:numPr>
        <w:spacing w:after="80"/>
      </w:pPr>
      <w:r>
        <w:t xml:space="preserve">Assist the Controller in responding to Data Subject requests.</w:t>
      </w:r>
    </w:p>
    <w:p>
      <w:pPr>
        <w:pStyle w:val="ListParagraph"/>
        <w:numPr>
          <w:ilvl w:val="0"/>
          <w:numId w:val="2"/>
        </w:numPr>
        <w:spacing w:after="80"/>
      </w:pPr>
      <w:r>
        <w:t xml:space="preserve">Assist the Controller in complying with Articles 32 to 36 of UK GDPR (security, breach notification, impact assessments, prior consultation).</w:t>
      </w:r>
    </w:p>
    <w:p>
      <w:pPr>
        <w:pStyle w:val="ListParagraph"/>
        <w:numPr>
          <w:ilvl w:val="0"/>
          <w:numId w:val="2"/>
        </w:numPr>
        <w:spacing w:after="80"/>
      </w:pPr>
      <w:r>
        <w:t xml:space="preserve">Notify the Controller without undue delay and in any event within 72 hours of becoming aware of a Personal Data breach affecting the Controller's data.</w:t>
      </w:r>
    </w:p>
    <w:p>
      <w:pPr>
        <w:pStyle w:val="ListParagraph"/>
        <w:numPr>
          <w:ilvl w:val="0"/>
          <w:numId w:val="2"/>
        </w:numPr>
        <w:spacing w:after="80"/>
      </w:pPr>
      <w:r>
        <w:t xml:space="preserve">On termination or expiry of the principal agreement, delete or return all Personal Data as instructed by the Controller, subject to mandatory retention obligations.</w:t>
      </w:r>
    </w:p>
    <w:p>
      <w:pPr>
        <w:pStyle w:val="ListParagraph"/>
        <w:numPr>
          <w:ilvl w:val="0"/>
          <w:numId w:val="2"/>
        </w:numPr>
        <w:spacing w:after="80"/>
      </w:pPr>
      <w:r>
        <w:t xml:space="preserve">Make available to the Controller all information necessary to demonstrate compliance with this DPA, and allow for and contribute to audits, including inspections, conducted on reasonable notice.</w:t>
      </w:r>
    </w:p>
    <w:p>
      <w:pPr>
        <w:pStyle w:val="Heading2"/>
      </w:pPr>
      <w:r>
        <w:t xml:space="preserve">5. Sub-processors</w:t>
      </w:r>
    </w:p>
    <w:p>
      <w:pPr>
        <w:spacing w:after="120"/>
      </w:pPr>
      <w:r>
        <w:t xml:space="preserve">The Controller provides general authorisation for the Processor to engage the sub-processors listed in the Privacy Policy. The Processor will give reasonable advance notice of additions or replacements, and the Controller may object on reasonable grounds.</w:t>
      </w:r>
    </w:p>
    <w:p>
      <w:pPr>
        <w:spacing w:after="120"/>
      </w:pPr>
      <w:r>
        <w:t xml:space="preserve">The Processor remains liable for the acts and omissions of its sub-processors as if they were its own.</w:t>
      </w:r>
    </w:p>
    <w:p>
      <w:pPr>
        <w:pStyle w:val="Heading2"/>
      </w:pPr>
      <w:r>
        <w:t xml:space="preserve">6. Schedule of security measures</w:t>
      </w:r>
    </w:p>
    <w:p>
      <w:pPr>
        <w:spacing w:after="120"/>
      </w:pPr>
      <w:r>
        <w:t xml:space="preserve">The Processor implements the following measures:</w:t>
      </w:r>
    </w:p>
    <w:p>
      <w:pPr>
        <w:pStyle w:val="Heading3"/>
      </w:pPr>
      <w:r>
        <w:t xml:space="preserve">6.1 Access control</w:t>
      </w:r>
    </w:p>
    <w:p>
      <w:pPr>
        <w:pStyle w:val="ListParagraph"/>
        <w:numPr>
          <w:ilvl w:val="0"/>
          <w:numId w:val="2"/>
        </w:numPr>
        <w:spacing w:after="80"/>
      </w:pPr>
      <w:r>
        <w:t xml:space="preserve">Role-based access control with least-privilege principles.</w:t>
      </w:r>
    </w:p>
    <w:p>
      <w:pPr>
        <w:pStyle w:val="ListParagraph"/>
        <w:numPr>
          <w:ilvl w:val="0"/>
          <w:numId w:val="2"/>
        </w:numPr>
        <w:spacing w:after="80"/>
      </w:pPr>
      <w:r>
        <w:t xml:space="preserve">Multi-factor authentication available for administrative accounts.</w:t>
      </w:r>
    </w:p>
    <w:p>
      <w:pPr>
        <w:pStyle w:val="ListParagraph"/>
        <w:numPr>
          <w:ilvl w:val="0"/>
          <w:numId w:val="2"/>
        </w:numPr>
        <w:spacing w:after="80"/>
      </w:pPr>
      <w:r>
        <w:t xml:space="preserve">Audit logging of administrative actions.</w:t>
      </w:r>
    </w:p>
    <w:p>
      <w:pPr>
        <w:pStyle w:val="ListParagraph"/>
        <w:numPr>
          <w:ilvl w:val="0"/>
          <w:numId w:val="2"/>
        </w:numPr>
        <w:spacing w:after="80"/>
      </w:pPr>
      <w:r>
        <w:t xml:space="preserve">Time-limited session tokens with rotation.</w:t>
      </w:r>
    </w:p>
    <w:p>
      <w:pPr>
        <w:pStyle w:val="Heading3"/>
      </w:pPr>
      <w:r>
        <w:t xml:space="preserve">6.2 Encryption</w:t>
      </w:r>
    </w:p>
    <w:p>
      <w:pPr>
        <w:pStyle w:val="ListParagraph"/>
        <w:numPr>
          <w:ilvl w:val="0"/>
          <w:numId w:val="2"/>
        </w:numPr>
        <w:spacing w:after="80"/>
      </w:pPr>
      <w:r>
        <w:t xml:space="preserve">All data in transit encrypted using TLS 1.2 or higher.</w:t>
      </w:r>
    </w:p>
    <w:p>
      <w:pPr>
        <w:pStyle w:val="ListParagraph"/>
        <w:numPr>
          <w:ilvl w:val="0"/>
          <w:numId w:val="2"/>
        </w:numPr>
        <w:spacing w:after="80"/>
      </w:pPr>
      <w:r>
        <w:t xml:space="preserve">All data at rest encrypted using AES-256 or equivalent.</w:t>
      </w:r>
    </w:p>
    <w:p>
      <w:pPr>
        <w:pStyle w:val="Heading3"/>
      </w:pPr>
      <w:r>
        <w:t xml:space="preserve">6.3 Tenant isolation</w:t>
      </w:r>
    </w:p>
    <w:p>
      <w:pPr>
        <w:pStyle w:val="ListParagraph"/>
        <w:numPr>
          <w:ilvl w:val="0"/>
          <w:numId w:val="2"/>
        </w:numPr>
        <w:spacing w:after="80"/>
      </w:pPr>
      <w:r>
        <w:t xml:space="preserve">Row-level security (RLS) policies enforce isolation of each Customer's data within the shared database.</w:t>
      </w:r>
    </w:p>
    <w:p>
      <w:pPr>
        <w:pStyle w:val="ListParagraph"/>
        <w:numPr>
          <w:ilvl w:val="0"/>
          <w:numId w:val="2"/>
        </w:numPr>
        <w:spacing w:after="80"/>
      </w:pPr>
      <w:r>
        <w:t xml:space="preserve">Audit query available on request to confirm RLS policy coverage.</w:t>
      </w:r>
    </w:p>
    <w:p>
      <w:pPr>
        <w:pStyle w:val="Heading3"/>
      </w:pPr>
      <w:r>
        <w:t xml:space="preserve">6.4 Resilience</w:t>
      </w:r>
    </w:p>
    <w:p>
      <w:pPr>
        <w:pStyle w:val="ListParagraph"/>
        <w:numPr>
          <w:ilvl w:val="0"/>
          <w:numId w:val="2"/>
        </w:numPr>
        <w:spacing w:after="80"/>
      </w:pPr>
      <w:r>
        <w:t xml:space="preserve">Daily automated backups with 30-day retention.</w:t>
      </w:r>
    </w:p>
    <w:p>
      <w:pPr>
        <w:pStyle w:val="ListParagraph"/>
        <w:numPr>
          <w:ilvl w:val="0"/>
          <w:numId w:val="2"/>
        </w:numPr>
        <w:spacing w:after="80"/>
      </w:pPr>
      <w:r>
        <w:t xml:space="preserve">Point-in-time recovery available.</w:t>
      </w:r>
    </w:p>
    <w:p>
      <w:pPr>
        <w:pStyle w:val="ListParagraph"/>
        <w:numPr>
          <w:ilvl w:val="0"/>
          <w:numId w:val="2"/>
        </w:numPr>
        <w:spacing w:after="80"/>
      </w:pPr>
      <w:r>
        <w:t xml:space="preserve">Disaster recovery procedures documented and tested.</w:t>
      </w:r>
    </w:p>
    <w:p>
      <w:pPr>
        <w:pStyle w:val="Heading3"/>
      </w:pPr>
      <w:r>
        <w:t xml:space="preserve">6.5 Monitoring</w:t>
      </w:r>
    </w:p>
    <w:p>
      <w:pPr>
        <w:pStyle w:val="ListParagraph"/>
        <w:numPr>
          <w:ilvl w:val="0"/>
          <w:numId w:val="2"/>
        </w:numPr>
        <w:spacing w:after="80"/>
      </w:pPr>
      <w:r>
        <w:t xml:space="preserve">Continuous error and performance monitoring via Sentry.</w:t>
      </w:r>
    </w:p>
    <w:p>
      <w:pPr>
        <w:pStyle w:val="ListParagraph"/>
        <w:numPr>
          <w:ilvl w:val="0"/>
          <w:numId w:val="2"/>
        </w:numPr>
        <w:spacing w:after="80"/>
      </w:pPr>
      <w:r>
        <w:t xml:space="preserve">Rate limiting on authentication and AI endpoints to mitigate abuse.</w:t>
      </w:r>
    </w:p>
    <w:p>
      <w:pPr>
        <w:pStyle w:val="ListParagraph"/>
        <w:numPr>
          <w:ilvl w:val="0"/>
          <w:numId w:val="2"/>
        </w:numPr>
        <w:spacing w:after="80"/>
      </w:pPr>
      <w:r>
        <w:t xml:space="preserve">Dependency vulnerability scanning.</w:t>
      </w:r>
    </w:p>
    <w:p>
      <w:pPr>
        <w:pStyle w:val="Heading3"/>
      </w:pPr>
      <w:r>
        <w:t xml:space="preserve">6.6 Software lifecycle</w:t>
      </w:r>
    </w:p>
    <w:p>
      <w:pPr>
        <w:pStyle w:val="ListParagraph"/>
        <w:numPr>
          <w:ilvl w:val="0"/>
          <w:numId w:val="2"/>
        </w:numPr>
        <w:spacing w:after="80"/>
      </w:pPr>
      <w:r>
        <w:t xml:space="preserve">Code review and tested deployment pipeline.</w:t>
      </w:r>
    </w:p>
    <w:p>
      <w:pPr>
        <w:pStyle w:val="ListParagraph"/>
        <w:numPr>
          <w:ilvl w:val="0"/>
          <w:numId w:val="2"/>
        </w:numPr>
        <w:spacing w:after="80"/>
      </w:pPr>
      <w:r>
        <w:t xml:space="preserve">Security review of significant code changes.</w:t>
      </w:r>
    </w:p>
    <w:p>
      <w:pPr>
        <w:pStyle w:val="ListParagraph"/>
        <w:numPr>
          <w:ilvl w:val="0"/>
          <w:numId w:val="2"/>
        </w:numPr>
        <w:spacing w:after="80"/>
      </w:pPr>
      <w:r>
        <w:t xml:space="preserve">Prompt patching of high or critical severity vulnerabilities.</w:t>
      </w:r>
    </w:p>
    <w:p>
      <w:pPr>
        <w:pStyle w:val="Heading2"/>
      </w:pPr>
      <w:r>
        <w:t xml:space="preserve">7. International transfers</w:t>
      </w:r>
    </w:p>
    <w:p>
      <w:pPr>
        <w:spacing w:after="120"/>
      </w:pPr>
      <w:r>
        <w:t xml:space="preserve">Where processing involves transfers outside the UK or EEA, such transfers are protected by the UK International Data Transfer Agreement, the EU Standard Contractual Clauses with the UK Addendum, or another lawful transfer mechanism under UK GDPR Article 46.</w:t>
      </w:r>
    </w:p>
    <w:p>
      <w:pPr>
        <w:pStyle w:val="Heading2"/>
      </w:pPr>
      <w:r>
        <w:t xml:space="preserve">8. Breach notification</w:t>
      </w:r>
    </w:p>
    <w:p>
      <w:pPr>
        <w:spacing w:after="120"/>
      </w:pPr>
      <w:r>
        <w:t xml:space="preserve">On becoming aware of a Personal Data breach, the Processor will notify the Controller without undue delay and in any event within 72 hours. The notification will include:</w:t>
      </w:r>
    </w:p>
    <w:p>
      <w:pPr>
        <w:pStyle w:val="ListParagraph"/>
        <w:numPr>
          <w:ilvl w:val="0"/>
          <w:numId w:val="2"/>
        </w:numPr>
        <w:spacing w:after="80"/>
      </w:pPr>
      <w:r>
        <w:t xml:space="preserve">Description of the nature of the breach including categories and approximate numbers of data subjects affected.</w:t>
      </w:r>
    </w:p>
    <w:p>
      <w:pPr>
        <w:pStyle w:val="ListParagraph"/>
        <w:numPr>
          <w:ilvl w:val="0"/>
          <w:numId w:val="2"/>
        </w:numPr>
        <w:spacing w:after="80"/>
      </w:pPr>
      <w:r>
        <w:t xml:space="preserve">Name and contact details of the Processor's point of contact.</w:t>
      </w:r>
    </w:p>
    <w:p>
      <w:pPr>
        <w:pStyle w:val="ListParagraph"/>
        <w:numPr>
          <w:ilvl w:val="0"/>
          <w:numId w:val="2"/>
        </w:numPr>
        <w:spacing w:after="80"/>
      </w:pPr>
      <w:r>
        <w:t xml:space="preserve">Likely consequences of the breach.</w:t>
      </w:r>
    </w:p>
    <w:p>
      <w:pPr>
        <w:pStyle w:val="ListParagraph"/>
        <w:numPr>
          <w:ilvl w:val="0"/>
          <w:numId w:val="2"/>
        </w:numPr>
        <w:spacing w:after="80"/>
      </w:pPr>
      <w:r>
        <w:t xml:space="preserve">Measures taken or proposed to address the breach and mitigate its possible adverse effects.</w:t>
      </w:r>
    </w:p>
    <w:p>
      <w:pPr>
        <w:pStyle w:val="Heading2"/>
      </w:pPr>
      <w:r>
        <w:t xml:space="preserve">9. Liability</w:t>
      </w:r>
    </w:p>
    <w:p>
      <w:pPr>
        <w:spacing w:after="120"/>
      </w:pPr>
      <w:r>
        <w:t xml:space="preserve">Liability under this DPA is governed by the limitation of liability provisions in the principal agreement between the Parties.</w:t>
      </w:r>
    </w:p>
    <w:p>
      <w:pPr>
        <w:pStyle w:val="Heading2"/>
      </w:pPr>
      <w:r>
        <w:t xml:space="preserve">10. Governing law</w:t>
      </w:r>
    </w:p>
    <w:p>
      <w:pPr>
        <w:spacing w:after="120"/>
      </w:pPr>
      <w:r>
        <w:t xml:space="preserve">This DPA is governed by the laws of Northern Ireland. The Parties submit to the exclusive jurisdiction of the courts of Northern Ireland.</w:t>
      </w:r>
    </w:p>
    <w:p>
      <w:pPr>
        <w:pStyle w:val="Heading2"/>
      </w:pPr>
      <w:r>
        <w:t xml:space="preserve">11. Signatures</w:t>
      </w:r>
    </w:p>
    <w:p>
      <w:pPr>
        <w:spacing w:after="120"/>
      </w:pPr>
      <w:r>
        <w:t xml:space="preserve">This DPA may be executed in counterparts and accepted by signature, by electronic signature, or by the Controller's acceptance of the Vantro subscription terms which incorporate this DPA by reference.</w:t>
      </w:r>
    </w:p>
    <w:p>
      <w:r>
        <w:t xml:space="preserve"/>
      </w:r>
    </w:p>
    <w:p>
      <w:r>
        <w:t xml:space="preserve"/>
      </w:r>
    </w:p>
    <w:p>
      <w:pPr>
        <w:spacing w:after="120"/>
      </w:pPr>
      <w:r>
        <w:rPr>
          <w:b/>
          <w:bCs/>
        </w:rPr>
        <w:t xml:space="preserve">On behalf of the Controller:</w:t>
      </w:r>
    </w:p>
    <w:p>
      <w:pPr>
        <w:spacing w:after="120"/>
      </w:pPr>
      <w:r>
        <w:t xml:space="preserve">Name: ___________________________________</w:t>
      </w:r>
    </w:p>
    <w:p>
      <w:pPr>
        <w:spacing w:after="120"/>
      </w:pPr>
      <w:r>
        <w:t xml:space="preserve">Title: ___________________________________</w:t>
      </w:r>
    </w:p>
    <w:p>
      <w:pPr>
        <w:spacing w:after="120"/>
      </w:pPr>
      <w:r>
        <w:t xml:space="preserve">Date: ___________________________________</w:t>
      </w:r>
    </w:p>
    <w:p>
      <w:pPr>
        <w:spacing w:after="120"/>
      </w:pPr>
      <w:r>
        <w:t xml:space="preserve">Signature: ___________________________________</w:t>
      </w:r>
    </w:p>
    <w:p>
      <w:r>
        <w:t xml:space="preserve"/>
      </w:r>
    </w:p>
    <w:p>
      <w:r>
        <w:t xml:space="preserve"/>
      </w:r>
    </w:p>
    <w:p>
      <w:pPr>
        <w:spacing w:after="120"/>
      </w:pPr>
      <w:r>
        <w:rPr>
          <w:b/>
          <w:bCs/>
        </w:rPr>
        <w:t xml:space="preserve">On behalf of the Processor:</w:t>
      </w:r>
    </w:p>
    <w:p>
      <w:pPr>
        <w:spacing w:after="120"/>
      </w:pPr>
      <w:r>
        <w:t xml:space="preserve">Name: Aileen Doherty</w:t>
      </w:r>
    </w:p>
    <w:p>
      <w:pPr>
        <w:spacing w:after="120"/>
      </w:pPr>
      <w:r>
        <w:t xml:space="preserve">Title: Director, CNNCTD Ltd (trading as Vantro)</w:t>
      </w:r>
    </w:p>
    <w:p>
      <w:pPr>
        <w:spacing w:after="120"/>
      </w:pPr>
      <w:r>
        <w:t xml:space="preserve">Date: 20 May 2026</w:t>
      </w:r>
    </w:p>
    <w:p>
      <w:pPr>
        <w:spacing w:after="120"/>
      </w:pPr>
      <w:r>
        <w:t xml:space="preserve">Signature: ___________________________________</w:t>
      </w:r>
    </w:p>
    <w:p>
      <w:r>
        <w:t xml:space="preserve"/>
      </w:r>
    </w:p>
    <w:p>
      <w:pPr>
        <w:spacing w:before="400"/>
      </w:pPr>
      <w:r>
        <w:rPr>
          <w:color w:val="888888"/>
          <w:sz w:val="18"/>
          <w:szCs w:val="18"/>
        </w:rPr>
        <w:t xml:space="preserve">Document version: 1.0</w:t>
      </w:r>
    </w:p>
    <w:p>
      <w:r>
        <w:rPr>
          <w:color w:val="888888"/>
          <w:sz w:val="18"/>
          <w:szCs w:val="18"/>
        </w:rPr>
        <w:t xml:space="preserve">Effective from: 20 May 2026</w:t>
      </w:r>
    </w:p>
    <w:p>
      <w:r>
        <w:rPr>
          <w:color w:val="888888"/>
          <w:sz w:val="18"/>
          <w:szCs w:val="18"/>
        </w:rPr>
        <w:t xml:space="preserve">Contact: aileen@applyscale8.com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Vantro — CNNCTD Ltd (trading as Vantro) — Company No. NI695071 — </w:t>
    </w:r>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b/>
        <w:bCs/>
        <w:color w:val="BC6AFF"/>
        <w:sz w:val="22"/>
        <w:szCs w:val="22"/>
      </w:rPr>
      <w:t xml:space="preserve">VANTRO</w:t>
    </w:r>
    <w:r>
      <w:rPr>
        <w:color w:val="666666"/>
        <w:sz w:val="20"/>
        <w:szCs w:val="20"/>
      </w:rPr>
      <w:t xml:space="preserve">   ·   Data Processing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1A"/>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A1A1A"/>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Vantro Data Processing Agreement</dc:title>
  <dc:creator>Vantro</dc:creator>
  <cp:lastModifiedBy>Un-named</cp:lastModifiedBy>
  <cp:revision>1</cp:revision>
  <dcterms:created xsi:type="dcterms:W3CDTF">2026-05-20T09:05:29.117Z</dcterms:created>
  <dcterms:modified xsi:type="dcterms:W3CDTF">2026-05-20T09:05:29.117Z</dcterms:modified>
</cp:coreProperties>
</file>

<file path=docProps/custom.xml><?xml version="1.0" encoding="utf-8"?>
<Properties xmlns="http://schemas.openxmlformats.org/officeDocument/2006/custom-properties" xmlns:vt="http://schemas.openxmlformats.org/officeDocument/2006/docPropsVTypes"/>
</file>