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BC6AFF"/>
          <w:sz w:val="40"/>
          <w:szCs w:val="40"/>
        </w:rPr>
        <w:t xml:space="preserve">VANTRO</w:t>
      </w:r>
    </w:p>
    <w:p>
      <w:pPr>
        <w:spacing w:after="240"/>
        <w:jc w:val="center"/>
      </w:pPr>
      <w:r>
        <w:rPr>
          <w:b/>
          <w:bCs/>
          <w:sz w:val="32"/>
          <w:szCs w:val="32"/>
        </w:rPr>
        <w:t xml:space="preserve">Privacy Policy</w:t>
      </w:r>
    </w:p>
    <w:p>
      <w:pPr>
        <w:spacing w:after="480"/>
        <w:jc w:val="center"/>
      </w:pPr>
      <w:r>
        <w:rPr>
          <w:i/>
          <w:iCs/>
          <w:color w:val="666666"/>
          <w:sz w:val="22"/>
          <w:szCs w:val="22"/>
        </w:rPr>
        <w:t xml:space="preserve">Version 1.0 · Effective 20 May 2026</w:t>
      </w:r>
    </w:p>
    <w:p>
      <w:pPr>
        <w:pStyle w:val="Heading2"/>
      </w:pPr>
      <w:r>
        <w:t xml:space="preserve">1. Who we are</w:t>
      </w:r>
    </w:p>
    <w:p>
      <w:pPr>
        <w:spacing w:after="120"/>
      </w:pPr>
      <w:r>
        <w:t xml:space="preserve">This Privacy Policy applies to the use of the Vantro application and related services (the "Service"). The Service is operated by CNNCTD Ltd (trading as Vantro), a company registered in Northern Ireland under company number NI695071.</w:t>
      </w:r>
    </w:p>
    <w:p>
      <w:pPr>
        <w:spacing w:after="120"/>
      </w:pPr>
      <w:r>
        <w:t xml:space="preserve">For the purposes of UK GDPR and the Data Protection Act 2018, Vantro acts as a Data Processor on behalf of our customers (typically installation businesses, hereafter referred to as "Customers"). The Customer is the Data Controller in relation to data processed on their behalf, including data about their employees, sub-contractors, and end clients.</w:t>
      </w:r>
    </w:p>
    <w:p>
      <w:pPr>
        <w:spacing w:after="120"/>
      </w:pPr>
      <w:r>
        <w:t xml:space="preserve">Where Vantro processes personal data as an independent Controller — for example, account holders who sign up directly, or billing contact information — this is identified explicitly in this Policy.</w:t>
      </w:r>
    </w:p>
    <w:p>
      <w:pPr>
        <w:pStyle w:val="Heading2"/>
      </w:pPr>
      <w:r>
        <w:t xml:space="preserve">2. Contact</w:t>
      </w:r>
    </w:p>
    <w:p>
      <w:pPr>
        <w:spacing w:after="120"/>
      </w:pPr>
      <w:r>
        <w:t xml:space="preserve">Data Protection enquiries should be directed to:</w:t>
      </w:r>
    </w:p>
    <w:p>
      <w:pPr>
        <w:spacing w:after="120"/>
      </w:pPr>
      <w:r>
        <w:t xml:space="preserve">CNNCTD Ltd (trading as Vantro)</w:t>
      </w:r>
    </w:p>
    <w:p>
      <w:pPr>
        <w:spacing w:after="120"/>
      </w:pPr>
      <w:r>
        <w:t xml:space="preserve">Email: aileen@applyscale8.com</w:t>
      </w:r>
    </w:p>
    <w:p>
      <w:pPr>
        <w:spacing w:after="120"/>
      </w:pPr>
      <w:r>
        <w:t xml:space="preserve">Registered office: Northern Ireland (full address available on request)</w:t>
      </w:r>
    </w:p>
    <w:p>
      <w:pPr>
        <w:pStyle w:val="Heading2"/>
      </w:pPr>
      <w:r>
        <w:t xml:space="preserve">3. What personal data we process</w:t>
      </w:r>
    </w:p>
    <w:p>
      <w:pPr>
        <w:spacing w:after="120"/>
      </w:pPr>
      <w:r>
        <w:t xml:space="preserve">The categories of personal data we process depend on your role in relation to the Service. The table below summarises each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Account holders / admins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Name, email, hashed password, role, company association, login timestamps, IP address at login.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Installers / field workers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Name, initials, role, GPS location during signed-in shifts (5-minute pings), sign-in/sign-out timestamps, diary entries, defect reports, photos uploaded by the installer, expense receipts uploaded by the installer.</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End-clients of our Customers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Name, address, contact details (where supplied by our Customer for the purpose of job allocation).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Billing contacts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Name, email, billing address, payment method tokens (held by Stripe, our payment processor).</w:t>
            </w:r>
          </w:p>
        </w:tc>
      </w:tr>
    </w:tbl>
    <w:p>
      <w:r>
        <w:t xml:space="preserve"/>
      </w:r>
    </w:p>
    <w:p>
      <w:pPr>
        <w:pStyle w:val="Heading2"/>
      </w:pPr>
      <w:r>
        <w:t xml:space="preserve">4. Legal basis for processing</w:t>
      </w:r>
    </w:p>
    <w:p>
      <w:pPr>
        <w:spacing w:after="120"/>
      </w:pPr>
      <w:r>
        <w:t xml:space="preserve">We rely on the following lawful bases under UK GDPR Article 6:</w:t>
      </w:r>
    </w:p>
    <w:p>
      <w:pPr>
        <w:pStyle w:val="ListParagraph"/>
        <w:numPr>
          <w:ilvl w:val="0"/>
          <w:numId w:val="2"/>
        </w:numPr>
        <w:spacing w:after="80"/>
      </w:pPr>
      <w:r>
        <w:t xml:space="preserve">Performance of a contract — where processing is necessary to deliver the Service to a Customer who has entered into a subscription agreement with us. This covers most operational processing including GPS tracking during shifts, diary and defect submissions, audit trail creation, and billing.</w:t>
      </w:r>
    </w:p>
    <w:p>
      <w:pPr>
        <w:pStyle w:val="ListParagraph"/>
        <w:numPr>
          <w:ilvl w:val="0"/>
          <w:numId w:val="2"/>
        </w:numPr>
        <w:spacing w:after="80"/>
      </w:pPr>
      <w:r>
        <w:t xml:space="preserve">Legitimate interests — where processing is necessary for our legitimate interests in operating, securing, and improving the Service, provided these interests are not overridden by data subject rights. This covers fraud prevention, security monitoring, and aggregate analytics.</w:t>
      </w:r>
    </w:p>
    <w:p>
      <w:pPr>
        <w:pStyle w:val="ListParagraph"/>
        <w:numPr>
          <w:ilvl w:val="0"/>
          <w:numId w:val="2"/>
        </w:numPr>
        <w:spacing w:after="80"/>
      </w:pPr>
      <w:r>
        <w:t xml:space="preserve">Legal obligation — where processing is required to comply with UK law, including retention of records required for tax, employment, or regulatory purposes.</w:t>
      </w:r>
    </w:p>
    <w:p>
      <w:pPr>
        <w:pStyle w:val="ListParagraph"/>
        <w:numPr>
          <w:ilvl w:val="0"/>
          <w:numId w:val="2"/>
        </w:numPr>
        <w:spacing w:after="80"/>
      </w:pPr>
      <w:r>
        <w:t xml:space="preserve">Consent — where you have explicitly consented to processing for a specific purpose (for example, opting in to marketing communications). Consent can be withdrawn at any time.</w:t>
      </w:r>
    </w:p>
    <w:p>
      <w:pPr>
        <w:pStyle w:val="Heading2"/>
      </w:pPr>
      <w:r>
        <w:t xml:space="preserve">5. How we use the data</w:t>
      </w:r>
    </w:p>
    <w:p>
      <w:pPr>
        <w:spacing w:after="120"/>
      </w:pPr>
      <w:r>
        <w:t xml:space="preserve">Personal data is used to:</w:t>
      </w:r>
    </w:p>
    <w:p>
      <w:pPr>
        <w:pStyle w:val="ListParagraph"/>
        <w:numPr>
          <w:ilvl w:val="0"/>
          <w:numId w:val="2"/>
        </w:numPr>
        <w:spacing w:after="80"/>
      </w:pPr>
      <w:r>
        <w:t xml:space="preserve">Authenticate users and provide secure access to the Service.</w:t>
      </w:r>
    </w:p>
    <w:p>
      <w:pPr>
        <w:pStyle w:val="ListParagraph"/>
        <w:numPr>
          <w:ilvl w:val="0"/>
          <w:numId w:val="2"/>
        </w:numPr>
        <w:spacing w:after="80"/>
      </w:pPr>
      <w:r>
        <w:t xml:space="preserve">Record installer attendance and GPS audit trail for jobs.</w:t>
      </w:r>
    </w:p>
    <w:p>
      <w:pPr>
        <w:pStyle w:val="ListParagraph"/>
        <w:numPr>
          <w:ilvl w:val="0"/>
          <w:numId w:val="2"/>
        </w:numPr>
        <w:spacing w:after="80"/>
      </w:pPr>
      <w:r>
        <w:t xml:space="preserve">Capture site diary entries, defect reports, and expense submissions.</w:t>
      </w:r>
    </w:p>
    <w:p>
      <w:pPr>
        <w:pStyle w:val="ListParagraph"/>
        <w:numPr>
          <w:ilvl w:val="0"/>
          <w:numId w:val="2"/>
        </w:numPr>
        <w:spacing w:after="80"/>
      </w:pPr>
      <w:r>
        <w:t xml:space="preserve">Generate audit packs for the Customer's end-clients.</w:t>
      </w:r>
    </w:p>
    <w:p>
      <w:pPr>
        <w:pStyle w:val="ListParagraph"/>
        <w:numPr>
          <w:ilvl w:val="0"/>
          <w:numId w:val="2"/>
        </w:numPr>
        <w:spacing w:after="80"/>
      </w:pPr>
      <w:r>
        <w:t xml:space="preserve">Communicate with users about their account (password resets, security alerts, service announcements).</w:t>
      </w:r>
    </w:p>
    <w:p>
      <w:pPr>
        <w:pStyle w:val="ListParagraph"/>
        <w:numPr>
          <w:ilvl w:val="0"/>
          <w:numId w:val="2"/>
        </w:numPr>
        <w:spacing w:after="80"/>
      </w:pPr>
      <w:r>
        <w:t xml:space="preserve">Process payments and prevent fraud.</w:t>
      </w:r>
    </w:p>
    <w:p>
      <w:pPr>
        <w:pStyle w:val="ListParagraph"/>
        <w:numPr>
          <w:ilvl w:val="0"/>
          <w:numId w:val="2"/>
        </w:numPr>
        <w:spacing w:after="80"/>
      </w:pPr>
      <w:r>
        <w:t xml:space="preserve">Investigate and resolve support issues.</w:t>
      </w:r>
    </w:p>
    <w:p>
      <w:pPr>
        <w:pStyle w:val="ListParagraph"/>
        <w:numPr>
          <w:ilvl w:val="0"/>
          <w:numId w:val="2"/>
        </w:numPr>
        <w:spacing w:after="80"/>
      </w:pPr>
      <w:r>
        <w:t xml:space="preserve">Improve the Service, on the basis of aggregated, de-identified usage data.</w:t>
      </w:r>
    </w:p>
    <w:p>
      <w:pPr>
        <w:pStyle w:val="Heading2"/>
      </w:pPr>
      <w:r>
        <w:t xml:space="preserve">6. Sub-processors</w:t>
      </w:r>
    </w:p>
    <w:p>
      <w:pPr>
        <w:spacing w:after="120"/>
      </w:pPr>
      <w:r>
        <w:t xml:space="preserve">We use the following sub-processors to deliver the Service. All sub-processors are contractually bound to equivalent data protection standards.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Supabase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Database, authentication, file storage. EU region (Frankfurt).</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Cloudflare R2</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Storage for photos, receipts, and walkthrough video. EU jurisdiction.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Cloudflare Stream</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Storage and delivery of walk-and-talk videos. EU jurisdiction.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Resend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Transactional email delivery (password resets, invites, alerts).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Google Cloud (Gemini AI)</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AI processing of diary entries, receipts, and audit summaries. Data sent to Gemini API is processed transiently and not retained for training under Google's commercial API terms.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Vercel</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Web application hosting.</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Sentry</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Error and performance monitoring.</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Stripe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Payment processing and billing. PCI-DSS Level 1 certified.</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Google Maps Platform</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Address geocoding and route information.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Apple Push Notification Service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Push notifications to iOS devices.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Firebase Cloud Messaging</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Push notifications to Android devices.</w:t>
            </w:r>
          </w:p>
        </w:tc>
      </w:tr>
    </w:tbl>
    <w:p>
      <w:r>
        <w:t xml:space="preserve"/>
      </w:r>
    </w:p>
    <w:p>
      <w:pPr>
        <w:spacing w:after="120"/>
      </w:pPr>
      <w:r>
        <w:t xml:space="preserve">A current list of sub-processors is available on request. We will provide reasonable notice to Customers before adding or replacing a sub-processor.</w:t>
      </w:r>
    </w:p>
    <w:p>
      <w:pPr>
        <w:pStyle w:val="Heading2"/>
      </w:pPr>
      <w:r>
        <w:t xml:space="preserve">7. International transfers</w:t>
      </w:r>
    </w:p>
    <w:p>
      <w:pPr>
        <w:spacing w:after="120"/>
      </w:pPr>
      <w:r>
        <w:t xml:space="preserve">The majority of personal data is processed within the United Kingdom and the European Economic Area. Where personal data is transferred outside the UK / EEA (notably to certain Google and Cloudflare infrastructure), we rely on UK International Data Transfer Agreement clauses or equivalent safeguards under UK GDPR Article 46.</w:t>
      </w:r>
    </w:p>
    <w:p>
      <w:pPr>
        <w:pStyle w:val="Heading2"/>
      </w:pPr>
      <w:r>
        <w:t xml:space="preserve">8. How long we keep data</w:t>
      </w:r>
    </w:p>
    <w:p>
      <w:pPr>
        <w:spacing w:after="120"/>
      </w:pPr>
      <w:r>
        <w:t xml:space="preserve">Data retention varies by category. The default retention periods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Active account data</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For the duration of the subscription, plus the periods below after termination.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GPS location logs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12 months after the shift, unless a longer retention is required for an ongoing audit or dispute.</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Diary entries, defects, audit packs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7 years (aligned with typical construction industry contract limitation periods).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Receipt and expense records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7 years (aligned with UK tax retention requirements).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Marketing data</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Until consent is withdrawn.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Account credentials after deletion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Authentication records are anonymised within 30 days of account deletion.</w:t>
            </w:r>
          </w:p>
        </w:tc>
      </w:tr>
    </w:tbl>
    <w:p>
      <w:r>
        <w:t xml:space="preserve"/>
      </w:r>
    </w:p>
    <w:p>
      <w:pPr>
        <w:spacing w:after="120"/>
      </w:pPr>
      <w:r>
        <w:t xml:space="preserve">Customers may instruct us to apply different retention periods by contract. Where a Customer instructs deletion, we will delete or anonymise the relevant data within 30 days, except where retention is required to comply with a legal obligation.</w:t>
      </w:r>
    </w:p>
    <w:p>
      <w:pPr>
        <w:pStyle w:val="Heading2"/>
      </w:pPr>
      <w:r>
        <w:t xml:space="preserve">9. Your rights</w:t>
      </w:r>
    </w:p>
    <w:p>
      <w:pPr>
        <w:spacing w:after="120"/>
      </w:pPr>
      <w:r>
        <w:t xml:space="preserve">Under UK GDPR you have the following rights:</w:t>
      </w:r>
    </w:p>
    <w:p>
      <w:pPr>
        <w:pStyle w:val="ListParagraph"/>
        <w:numPr>
          <w:ilvl w:val="0"/>
          <w:numId w:val="2"/>
        </w:numPr>
        <w:spacing w:after="80"/>
      </w:pPr>
      <w:r>
        <w:t xml:space="preserve">Right of access — to obtain a copy of your personal data.</w:t>
      </w:r>
    </w:p>
    <w:p>
      <w:pPr>
        <w:pStyle w:val="ListParagraph"/>
        <w:numPr>
          <w:ilvl w:val="0"/>
          <w:numId w:val="2"/>
        </w:numPr>
        <w:spacing w:after="80"/>
      </w:pPr>
      <w:r>
        <w:t xml:space="preserve">Right to rectification — to have inaccurate or incomplete data corrected.</w:t>
      </w:r>
    </w:p>
    <w:p>
      <w:pPr>
        <w:pStyle w:val="ListParagraph"/>
        <w:numPr>
          <w:ilvl w:val="0"/>
          <w:numId w:val="2"/>
        </w:numPr>
        <w:spacing w:after="80"/>
      </w:pPr>
      <w:r>
        <w:t xml:space="preserve">Right to erasure — to have your data deleted (subject to legal retention requirements).</w:t>
      </w:r>
    </w:p>
    <w:p>
      <w:pPr>
        <w:pStyle w:val="ListParagraph"/>
        <w:numPr>
          <w:ilvl w:val="0"/>
          <w:numId w:val="2"/>
        </w:numPr>
        <w:spacing w:after="80"/>
      </w:pPr>
      <w:r>
        <w:t xml:space="preserve">Right to restrict processing — to limit how we use your data in certain circumstances.</w:t>
      </w:r>
    </w:p>
    <w:p>
      <w:pPr>
        <w:pStyle w:val="ListParagraph"/>
        <w:numPr>
          <w:ilvl w:val="0"/>
          <w:numId w:val="2"/>
        </w:numPr>
        <w:spacing w:after="80"/>
      </w:pPr>
      <w:r>
        <w:t xml:space="preserve">Right to object — to processing carried out under legitimate interests or for direct marketing.</w:t>
      </w:r>
    </w:p>
    <w:p>
      <w:pPr>
        <w:pStyle w:val="ListParagraph"/>
        <w:numPr>
          <w:ilvl w:val="0"/>
          <w:numId w:val="2"/>
        </w:numPr>
        <w:spacing w:after="80"/>
      </w:pPr>
      <w:r>
        <w:t xml:space="preserve">Right to data portability — to receive your data in a structured, commonly used, machine-readable format.</w:t>
      </w:r>
    </w:p>
    <w:p>
      <w:pPr>
        <w:pStyle w:val="ListParagraph"/>
        <w:numPr>
          <w:ilvl w:val="0"/>
          <w:numId w:val="2"/>
        </w:numPr>
        <w:spacing w:after="80"/>
      </w:pPr>
      <w:r>
        <w:t xml:space="preserve">Right to withdraw consent — where processing is based on consent, you may withdraw it at any time.</w:t>
      </w:r>
    </w:p>
    <w:p>
      <w:pPr>
        <w:pStyle w:val="ListParagraph"/>
        <w:numPr>
          <w:ilvl w:val="0"/>
          <w:numId w:val="2"/>
        </w:numPr>
        <w:spacing w:after="80"/>
      </w:pPr>
      <w:r>
        <w:t xml:space="preserve">Right to lodge a complaint with the Information Commissioner's Office at ico.org.uk.</w:t>
      </w:r>
    </w:p>
    <w:p>
      <w:pPr>
        <w:spacing w:after="120"/>
      </w:pPr>
      <w:r>
        <w:t xml:space="preserve">If you are an installer or end-employee of one of our Customers, you should direct rights requests to your employer in the first instance, as they are the Data Controller. Vantro will assist the Customer in responding to your request.</w:t>
      </w:r>
    </w:p>
    <w:p>
      <w:pPr>
        <w:pStyle w:val="Heading2"/>
      </w:pPr>
      <w:r>
        <w:t xml:space="preserve">10. Security</w:t>
      </w:r>
    </w:p>
    <w:p>
      <w:pPr>
        <w:spacing w:after="120"/>
      </w:pPr>
      <w:r>
        <w:t xml:space="preserve">We implement appropriate technical and organisational measures to protect personal data, including:</w:t>
      </w:r>
    </w:p>
    <w:p>
      <w:pPr>
        <w:pStyle w:val="ListParagraph"/>
        <w:numPr>
          <w:ilvl w:val="0"/>
          <w:numId w:val="2"/>
        </w:numPr>
        <w:spacing w:after="80"/>
      </w:pPr>
      <w:r>
        <w:t xml:space="preserve">Encryption in transit (TLS 1.2 or higher) and at rest (AES-256).</w:t>
      </w:r>
    </w:p>
    <w:p>
      <w:pPr>
        <w:pStyle w:val="ListParagraph"/>
        <w:numPr>
          <w:ilvl w:val="0"/>
          <w:numId w:val="2"/>
        </w:numPr>
        <w:spacing w:after="80"/>
      </w:pPr>
      <w:r>
        <w:t xml:space="preserve">Row-level security (RLS) tenant isolation between Customer data sets.</w:t>
      </w:r>
    </w:p>
    <w:p>
      <w:pPr>
        <w:pStyle w:val="ListParagraph"/>
        <w:numPr>
          <w:ilvl w:val="0"/>
          <w:numId w:val="2"/>
        </w:numPr>
        <w:spacing w:after="80"/>
      </w:pPr>
      <w:r>
        <w:t xml:space="preserve">Role-based access control with least-privilege principles.</w:t>
      </w:r>
    </w:p>
    <w:p>
      <w:pPr>
        <w:pStyle w:val="ListParagraph"/>
        <w:numPr>
          <w:ilvl w:val="0"/>
          <w:numId w:val="2"/>
        </w:numPr>
        <w:spacing w:after="80"/>
      </w:pPr>
      <w:r>
        <w:t xml:space="preserve">Daily automated backups with point-in-time recovery.</w:t>
      </w:r>
    </w:p>
    <w:p>
      <w:pPr>
        <w:pStyle w:val="ListParagraph"/>
        <w:numPr>
          <w:ilvl w:val="0"/>
          <w:numId w:val="2"/>
        </w:numPr>
        <w:spacing w:after="80"/>
      </w:pPr>
      <w:r>
        <w:t xml:space="preserve">Audit logging of administrative actions.</w:t>
      </w:r>
    </w:p>
    <w:p>
      <w:pPr>
        <w:pStyle w:val="ListParagraph"/>
        <w:numPr>
          <w:ilvl w:val="0"/>
          <w:numId w:val="2"/>
        </w:numPr>
        <w:spacing w:after="80"/>
      </w:pPr>
      <w:r>
        <w:t xml:space="preserve">Rate limiting on authentication endpoints to mitigate brute-force attacks.</w:t>
      </w:r>
    </w:p>
    <w:p>
      <w:pPr>
        <w:pStyle w:val="ListParagraph"/>
        <w:numPr>
          <w:ilvl w:val="0"/>
          <w:numId w:val="2"/>
        </w:numPr>
        <w:spacing w:after="80"/>
      </w:pPr>
      <w:r>
        <w:t xml:space="preserve">Regular security review of code changes and dependencies.</w:t>
      </w:r>
    </w:p>
    <w:p>
      <w:pPr>
        <w:pStyle w:val="ListParagraph"/>
        <w:numPr>
          <w:ilvl w:val="0"/>
          <w:numId w:val="2"/>
        </w:numPr>
        <w:spacing w:after="80"/>
      </w:pPr>
      <w:r>
        <w:t xml:space="preserve">Vulnerability monitoring and prompt patching of known issues.</w:t>
      </w:r>
    </w:p>
    <w:p>
      <w:pPr>
        <w:pStyle w:val="Heading2"/>
      </w:pPr>
      <w:r>
        <w:t xml:space="preserve">11. Data breaches</w:t>
      </w:r>
    </w:p>
    <w:p>
      <w:pPr>
        <w:spacing w:after="120"/>
      </w:pPr>
      <w:r>
        <w:t xml:space="preserve">In the event of a personal data breach likely to result in a risk to the rights and freedoms of natural persons, we will:</w:t>
      </w:r>
    </w:p>
    <w:p>
      <w:pPr>
        <w:pStyle w:val="ListParagraph"/>
        <w:numPr>
          <w:ilvl w:val="0"/>
          <w:numId w:val="2"/>
        </w:numPr>
        <w:spacing w:after="80"/>
      </w:pPr>
      <w:r>
        <w:t xml:space="preserve">Notify affected Customers without undue delay and in any event within 72 hours of becoming aware.</w:t>
      </w:r>
    </w:p>
    <w:p>
      <w:pPr>
        <w:pStyle w:val="ListParagraph"/>
        <w:numPr>
          <w:ilvl w:val="0"/>
          <w:numId w:val="2"/>
        </w:numPr>
        <w:spacing w:after="80"/>
      </w:pPr>
      <w:r>
        <w:t xml:space="preserve">Provide reasonable assistance to the Customer in their notification to the ICO and, where required, to affected individuals.</w:t>
      </w:r>
    </w:p>
    <w:p>
      <w:pPr>
        <w:pStyle w:val="ListParagraph"/>
        <w:numPr>
          <w:ilvl w:val="0"/>
          <w:numId w:val="2"/>
        </w:numPr>
        <w:spacing w:after="80"/>
      </w:pPr>
      <w:r>
        <w:t xml:space="preserve">Document the breach, our response, and any remediation taken.</w:t>
      </w:r>
    </w:p>
    <w:p>
      <w:pPr>
        <w:pStyle w:val="Heading2"/>
      </w:pPr>
      <w:r>
        <w:t xml:space="preserve">12. Children</w:t>
      </w:r>
    </w:p>
    <w:p>
      <w:pPr>
        <w:spacing w:after="120"/>
      </w:pPr>
      <w:r>
        <w:t xml:space="preserve">The Service is not directed to children under 16. We do not knowingly collect personal data from children. If we become aware that we have collected personal data from a child without parental consent, we will delete that data.</w:t>
      </w:r>
    </w:p>
    <w:p>
      <w:pPr>
        <w:pStyle w:val="Heading2"/>
      </w:pPr>
      <w:r>
        <w:t xml:space="preserve">13. Cookies and analytics</w:t>
      </w:r>
    </w:p>
    <w:p>
      <w:pPr>
        <w:spacing w:after="120"/>
      </w:pPr>
      <w:r>
        <w:t xml:space="preserve">Our web application uses session cookies necessary for authentication. We do not use third-party advertising cookies. Where we use analytics, data is aggregated and does not identify individual users.</w:t>
      </w:r>
    </w:p>
    <w:p>
      <w:pPr>
        <w:pStyle w:val="Heading2"/>
      </w:pPr>
      <w:r>
        <w:t xml:space="preserve">14. Changes to this Policy</w:t>
      </w:r>
    </w:p>
    <w:p>
      <w:pPr>
        <w:spacing w:after="120"/>
      </w:pPr>
      <w:r>
        <w:t xml:space="preserve">We may update this Policy from time to time. Material changes will be notified to Customers and, where appropriate, to other affected data subjects, with reasonable notice before the change takes effect.</w:t>
      </w:r>
    </w:p>
    <w:p>
      <w:pPr>
        <w:pStyle w:val="Heading2"/>
      </w:pPr>
      <w:r>
        <w:t xml:space="preserve">15. Complaints</w:t>
      </w:r>
    </w:p>
    <w:p>
      <w:pPr>
        <w:spacing w:after="120"/>
      </w:pPr>
      <w:r>
        <w:t xml:space="preserve">If you have a concern about how we handle your personal data, please contact us first at aileen@applyscale8.com so we have an opportunity to resolve it. You also have the right to lodge a complaint with the Information Commissioner's Office (ICO) at ico.org.uk, telephone 0303 123 1113.</w:t>
      </w:r>
    </w:p>
    <w:p>
      <w:r>
        <w:t xml:space="preserve"/>
      </w:r>
    </w:p>
    <w:p>
      <w:pPr>
        <w:spacing w:before="400"/>
      </w:pPr>
      <w:r>
        <w:rPr>
          <w:color w:val="888888"/>
          <w:sz w:val="18"/>
          <w:szCs w:val="18"/>
        </w:rPr>
        <w:t xml:space="preserve">Document version: 1.0</w:t>
      </w:r>
    </w:p>
    <w:p>
      <w:r>
        <w:rPr>
          <w:color w:val="888888"/>
          <w:sz w:val="18"/>
          <w:szCs w:val="18"/>
        </w:rPr>
        <w:t xml:space="preserve">Effective from: 20 May 2026</w:t>
      </w:r>
    </w:p>
    <w:p>
      <w:r>
        <w:rPr>
          <w:color w:val="888888"/>
          <w:sz w:val="18"/>
          <w:szCs w:val="18"/>
        </w:rPr>
        <w:t xml:space="preserve">Contact: aileen@applyscale8.com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Vantro — CNNCTD Ltd (trading as Vantro) — Company No. NI695071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BC6AFF"/>
        <w:sz w:val="22"/>
        <w:szCs w:val="22"/>
      </w:rPr>
      <w:t xml:space="preserve">VANTRO</w:t>
    </w:r>
    <w:r>
      <w:rPr>
        <w:color w:val="666666"/>
        <w:sz w:val="20"/>
        <w:szCs w:val="20"/>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Vantro Privacy Policy</dc:title>
  <dc:creator>Vantro</dc:creator>
  <cp:lastModifiedBy>Un-named</cp:lastModifiedBy>
  <cp:revision>1</cp:revision>
  <dcterms:created xsi:type="dcterms:W3CDTF">2026-05-20T09:05:29.110Z</dcterms:created>
  <dcterms:modified xsi:type="dcterms:W3CDTF">2026-05-20T09:05:29.110Z</dcterms:modified>
</cp:coreProperties>
</file>

<file path=docProps/custom.xml><?xml version="1.0" encoding="utf-8"?>
<Properties xmlns="http://schemas.openxmlformats.org/officeDocument/2006/custom-properties" xmlns:vt="http://schemas.openxmlformats.org/officeDocument/2006/docPropsVTypes"/>
</file>