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CFDC" w14:textId="725D9505" w:rsidR="00A95DCE" w:rsidRDefault="00A95DCE" w:rsidP="00A95DCE">
      <w:r>
        <w:t>Descrição da Base de Dados — base_treinamento.csv</w:t>
      </w:r>
    </w:p>
    <w:p w14:paraId="6135AA22" w14:textId="7DF5EC6E" w:rsidR="00A95DCE" w:rsidRDefault="00A95DCE" w:rsidP="00A95DCE">
      <w:r>
        <w:t>Objetivo da Base</w:t>
      </w:r>
    </w:p>
    <w:p w14:paraId="64EF8D87" w14:textId="5E7C274E" w:rsidR="00A95DCE" w:rsidRDefault="00A95DCE" w:rsidP="00A95DCE">
      <w:pPr>
        <w:jc w:val="both"/>
      </w:pPr>
      <w:r>
        <w:t>A base representa o comportamento temporal de um motor industrial operando sob três condições distintas:</w:t>
      </w:r>
    </w:p>
    <w:p w14:paraId="2FF76AA4" w14:textId="5BFCB22D" w:rsidR="00A95DCE" w:rsidRDefault="00A95DCE" w:rsidP="00A95DCE">
      <w:pPr>
        <w:jc w:val="both"/>
      </w:pPr>
      <w:r>
        <w:t>Normal — funcionamento estável com degradação gradual e ruído físico.</w:t>
      </w:r>
    </w:p>
    <w:p w14:paraId="6E2B5042" w14:textId="084C5632" w:rsidR="00A95DCE" w:rsidRDefault="00A95DCE" w:rsidP="00A95DCE">
      <w:pPr>
        <w:jc w:val="both"/>
      </w:pPr>
      <w:r>
        <w:t>Falha — anomalias reais provocadas por condições críticas (sobrecarga, superaquecimento, vibração excessiva ou perda de torque).</w:t>
      </w:r>
    </w:p>
    <w:p w14:paraId="0EB2D72F" w14:textId="77777777" w:rsidR="00A95DCE" w:rsidRDefault="00A95DCE" w:rsidP="00A95DCE">
      <w:pPr>
        <w:jc w:val="both"/>
      </w:pPr>
      <w:r>
        <w:t xml:space="preserve">Reparo — fase de recuperação </w:t>
      </w:r>
      <w:proofErr w:type="gramStart"/>
      <w:r>
        <w:t>onde</w:t>
      </w:r>
      <w:proofErr w:type="gramEnd"/>
      <w:r>
        <w:t xml:space="preserve"> os parâmetros retornam progressivamente ao estado nominal.</w:t>
      </w:r>
    </w:p>
    <w:p w14:paraId="1E3A658E" w14:textId="77777777" w:rsidR="00A95DCE" w:rsidRDefault="00A95DCE"/>
    <w:p w14:paraId="726CC571" w14:textId="77777777" w:rsidR="00A95DCE" w:rsidRPr="00A95DCE" w:rsidRDefault="00A95DCE" w:rsidP="00A95DCE">
      <w:r w:rsidRPr="00A95DCE">
        <w:t>Estrutura das Colunas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991"/>
        <w:gridCol w:w="1481"/>
        <w:gridCol w:w="4739"/>
      </w:tblGrid>
      <w:tr w:rsidR="00A95DCE" w:rsidRPr="00A95DCE" w14:paraId="46851518" w14:textId="77777777" w:rsidTr="00A95DCE">
        <w:tc>
          <w:tcPr>
            <w:tcW w:w="0" w:type="auto"/>
            <w:hideMark/>
          </w:tcPr>
          <w:p w14:paraId="51DF795C" w14:textId="77777777" w:rsidR="00A95DCE" w:rsidRPr="00A95DCE" w:rsidRDefault="00A95DCE" w:rsidP="00A95DCE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95DCE"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0" w:type="auto"/>
            <w:hideMark/>
          </w:tcPr>
          <w:p w14:paraId="053F9B43" w14:textId="77777777" w:rsidR="00A95DCE" w:rsidRPr="00A95DCE" w:rsidRDefault="00A95DCE" w:rsidP="00A95DCE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95DCE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74340ED6" w14:textId="77777777" w:rsidR="00A95DCE" w:rsidRPr="00A95DCE" w:rsidRDefault="00A95DCE" w:rsidP="00A95DCE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95DCE"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0" w:type="auto"/>
            <w:hideMark/>
          </w:tcPr>
          <w:p w14:paraId="0C2A1C1C" w14:textId="77777777" w:rsidR="00A95DCE" w:rsidRPr="00A95DCE" w:rsidRDefault="00A95DCE" w:rsidP="00A95DCE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95DCE"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95DCE" w:rsidRPr="00A95DCE" w14:paraId="74FDA345" w14:textId="77777777" w:rsidTr="00A95DCE">
        <w:tc>
          <w:tcPr>
            <w:tcW w:w="0" w:type="auto"/>
            <w:hideMark/>
          </w:tcPr>
          <w:p w14:paraId="7A871906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2BD7FD2F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818AD3F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5BB1412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Data/hora da leitura simulada (em intervalo regular). Usada como eixo temporal em todas as análises.</w:t>
            </w:r>
          </w:p>
        </w:tc>
      </w:tr>
      <w:tr w:rsidR="00A95DCE" w:rsidRPr="00A95DCE" w14:paraId="13D1C535" w14:textId="77777777" w:rsidTr="00A95DCE">
        <w:tc>
          <w:tcPr>
            <w:tcW w:w="0" w:type="auto"/>
            <w:hideMark/>
          </w:tcPr>
          <w:p w14:paraId="416D78C4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corrente</w:t>
            </w:r>
          </w:p>
        </w:tc>
        <w:tc>
          <w:tcPr>
            <w:tcW w:w="0" w:type="auto"/>
            <w:hideMark/>
          </w:tcPr>
          <w:p w14:paraId="1FBEC3DB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746C7B6D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ampères (A)</w:t>
            </w:r>
          </w:p>
        </w:tc>
        <w:tc>
          <w:tcPr>
            <w:tcW w:w="0" w:type="auto"/>
            <w:hideMark/>
          </w:tcPr>
          <w:p w14:paraId="00C800C2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Corrente elétrica consumida pelo motor. Em regime normal, estável; tende a subir em sobrecarga ou curto parcial.</w:t>
            </w:r>
          </w:p>
        </w:tc>
      </w:tr>
      <w:tr w:rsidR="00A95DCE" w:rsidRPr="00A95DCE" w14:paraId="4F7760A9" w14:textId="77777777" w:rsidTr="00A95DCE">
        <w:tc>
          <w:tcPr>
            <w:tcW w:w="0" w:type="auto"/>
            <w:hideMark/>
          </w:tcPr>
          <w:p w14:paraId="7187349B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temperatura</w:t>
            </w:r>
          </w:p>
        </w:tc>
        <w:tc>
          <w:tcPr>
            <w:tcW w:w="0" w:type="auto"/>
            <w:hideMark/>
          </w:tcPr>
          <w:p w14:paraId="6AFA060B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14C6D39A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graus Celsius (°C)</w:t>
            </w:r>
          </w:p>
        </w:tc>
        <w:tc>
          <w:tcPr>
            <w:tcW w:w="0" w:type="auto"/>
            <w:hideMark/>
          </w:tcPr>
          <w:p w14:paraId="2AB07B4F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Temperatura do motor. Aumenta gradualmente com o uso e dispara em falha térmica.</w:t>
            </w:r>
          </w:p>
        </w:tc>
      </w:tr>
      <w:tr w:rsidR="00A95DCE" w:rsidRPr="00A95DCE" w14:paraId="50D2AB5C" w14:textId="77777777" w:rsidTr="00A95DCE">
        <w:tc>
          <w:tcPr>
            <w:tcW w:w="0" w:type="auto"/>
            <w:hideMark/>
          </w:tcPr>
          <w:p w14:paraId="31C420DE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vibracao</w:t>
            </w:r>
            <w:proofErr w:type="spellEnd"/>
          </w:p>
        </w:tc>
        <w:tc>
          <w:tcPr>
            <w:tcW w:w="0" w:type="auto"/>
            <w:hideMark/>
          </w:tcPr>
          <w:p w14:paraId="4C2DA696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0E5C9C57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g (aceleração relativa)</w:t>
            </w:r>
          </w:p>
        </w:tc>
        <w:tc>
          <w:tcPr>
            <w:tcW w:w="0" w:type="auto"/>
            <w:hideMark/>
          </w:tcPr>
          <w:p w14:paraId="11E672E6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Vibração mecânica medida por acelerômetro. Indica desbalanceamento, desgaste ou folgas no eixo.</w:t>
            </w:r>
          </w:p>
        </w:tc>
      </w:tr>
      <w:tr w:rsidR="00A95DCE" w:rsidRPr="00A95DCE" w14:paraId="70416F58" w14:textId="77777777" w:rsidTr="00A95DCE">
        <w:tc>
          <w:tcPr>
            <w:tcW w:w="0" w:type="auto"/>
            <w:hideMark/>
          </w:tcPr>
          <w:p w14:paraId="3D04BF0A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rpm</w:t>
            </w:r>
          </w:p>
        </w:tc>
        <w:tc>
          <w:tcPr>
            <w:tcW w:w="0" w:type="auto"/>
            <w:hideMark/>
          </w:tcPr>
          <w:p w14:paraId="7A21BB92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7B25C12D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rotações por minuto</w:t>
            </w:r>
          </w:p>
        </w:tc>
        <w:tc>
          <w:tcPr>
            <w:tcW w:w="0" w:type="auto"/>
            <w:hideMark/>
          </w:tcPr>
          <w:p w14:paraId="7270E656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Velocidade de rotação do motor. Pode oscilar em falhas mecânicas ou elétricas.</w:t>
            </w:r>
          </w:p>
        </w:tc>
      </w:tr>
      <w:tr w:rsidR="00A95DCE" w:rsidRPr="00A95DCE" w14:paraId="057B89BD" w14:textId="77777777" w:rsidTr="00A95DCE">
        <w:tc>
          <w:tcPr>
            <w:tcW w:w="0" w:type="auto"/>
            <w:hideMark/>
          </w:tcPr>
          <w:p w14:paraId="195977C9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fase</w:t>
            </w:r>
          </w:p>
        </w:tc>
        <w:tc>
          <w:tcPr>
            <w:tcW w:w="0" w:type="auto"/>
            <w:hideMark/>
          </w:tcPr>
          <w:p w14:paraId="18551464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2FC06EA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A1F687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Fase operacional: "normal", "falha", "reparo". Ciclos se repetem continuamente.</w:t>
            </w:r>
          </w:p>
        </w:tc>
      </w:tr>
      <w:tr w:rsidR="00A95DCE" w:rsidRPr="00A95DCE" w14:paraId="2F01D27A" w14:textId="77777777" w:rsidTr="00A95DCE">
        <w:tc>
          <w:tcPr>
            <w:tcW w:w="0" w:type="auto"/>
            <w:hideMark/>
          </w:tcPr>
          <w:p w14:paraId="6F5FD254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drift_score</w:t>
            </w:r>
            <w:proofErr w:type="spellEnd"/>
          </w:p>
        </w:tc>
        <w:tc>
          <w:tcPr>
            <w:tcW w:w="0" w:type="auto"/>
            <w:hideMark/>
          </w:tcPr>
          <w:p w14:paraId="4A14C2F9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A95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19889803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[0–1]</w:t>
            </w:r>
          </w:p>
        </w:tc>
        <w:tc>
          <w:tcPr>
            <w:tcW w:w="0" w:type="auto"/>
            <w:hideMark/>
          </w:tcPr>
          <w:p w14:paraId="283C5E7E" w14:textId="77777777" w:rsidR="00A95DCE" w:rsidRPr="00A95DCE" w:rsidRDefault="00A95DCE" w:rsidP="00A95DCE">
            <w:pPr>
              <w:spacing w:after="160" w:line="278" w:lineRule="auto"/>
              <w:rPr>
                <w:sz w:val="20"/>
                <w:szCs w:val="20"/>
              </w:rPr>
            </w:pPr>
            <w:r w:rsidRPr="00A95DCE">
              <w:rPr>
                <w:sz w:val="20"/>
                <w:szCs w:val="20"/>
              </w:rPr>
              <w:t>Índice de anomalia calculado internamente (proxy do desvio conceitual). Aumenta conforme as variáveis se afastam do padrão nominal.</w:t>
            </w:r>
          </w:p>
        </w:tc>
      </w:tr>
    </w:tbl>
    <w:p w14:paraId="5B19F591" w14:textId="77777777" w:rsidR="00A95DCE" w:rsidRDefault="00A95DCE"/>
    <w:p w14:paraId="7D16F124" w14:textId="77777777" w:rsidR="00A95DCE" w:rsidRDefault="00A95DCE"/>
    <w:p w14:paraId="20A948F0" w14:textId="77777777" w:rsidR="00A95DCE" w:rsidRDefault="00A95DCE"/>
    <w:sectPr w:rsidR="00A95D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CE"/>
    <w:rsid w:val="00656F0C"/>
    <w:rsid w:val="00A9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6F04C"/>
  <w15:chartTrackingRefBased/>
  <w15:docId w15:val="{73E1C7A4-3D4B-4525-BBFB-8CEA45B5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D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5D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5D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5D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5D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5D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5D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5D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5D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5D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5DCE"/>
    <w:rPr>
      <w:b/>
      <w:bCs/>
      <w:smallCaps/>
      <w:color w:val="0F4761" w:themeColor="accent1" w:themeShade="BF"/>
      <w:spacing w:val="5"/>
    </w:rPr>
  </w:style>
  <w:style w:type="table" w:styleId="TabeladeGradeClara">
    <w:name w:val="Grid Table Light"/>
    <w:basedOn w:val="Tabelanormal"/>
    <w:uiPriority w:val="40"/>
    <w:rsid w:val="00A95D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A95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1183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Ailson Gomes</dc:creator>
  <cp:keywords/>
  <dc:description/>
  <cp:lastModifiedBy>Ailson Gomes</cp:lastModifiedBy>
  <cp:revision>1</cp:revision>
  <dcterms:created xsi:type="dcterms:W3CDTF">2025-11-04T01:42:00Z</dcterms:created>
  <dcterms:modified xsi:type="dcterms:W3CDTF">2025-11-04T01:50:00Z</dcterms:modified>
</cp:coreProperties>
</file>