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arquitetura-iiae-br-documentação-técnica"/>
    <w:p>
      <w:pPr>
        <w:pStyle w:val="Heading1"/>
      </w:pPr>
      <w:r>
        <w:t xml:space="preserve">Arquitetura IIAE-BR — Documentação Técnica</w:t>
      </w:r>
    </w:p>
    <w:p>
      <w:pPr>
        <w:pStyle w:val="FirstParagraph"/>
      </w:pPr>
      <w:r>
        <w:rPr>
          <w:bCs/>
          <w:b/>
        </w:rPr>
        <w:t xml:space="preserve">IIAE-BR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Interoperabilidade de Agentes Inteligentes no E-commerce</w:t>
      </w:r>
      <w:r>
        <w:rPr>
          <w:iCs/>
          <w:i/>
        </w:rPr>
        <w:t xml:space="preserve"> </w:t>
      </w:r>
      <w:r>
        <w:rPr>
          <w:iCs/>
          <w:i/>
        </w:rPr>
        <w:t xml:space="preserve">Brasileiro</w:t>
      </w:r>
      <w:r>
        <w:t xml:space="preserve">. Este documento descreve a arquitetura em</w:t>
      </w:r>
      <w:r>
        <w:t xml:space="preserve"> </w:t>
      </w:r>
      <w:r>
        <w:rPr>
          <w:bCs/>
          <w:b/>
        </w:rPr>
        <w:t xml:space="preserve">5 camadas</w:t>
      </w:r>
      <w:r>
        <w:t xml:space="preserve"> </w:t>
      </w:r>
      <w:r>
        <w:t xml:space="preserve">implementada no projeto, suas responsabilidades, componentes e o fluxo de</w:t>
      </w:r>
      <w:r>
        <w:t xml:space="preserve"> </w:t>
      </w:r>
      <w:r>
        <w:t xml:space="preserve">mensagens entre agentes.</w:t>
      </w:r>
    </w:p>
    <w:bookmarkStart w:id="21" w:name="visão-geral"/>
    <w:p>
      <w:pPr>
        <w:pStyle w:val="Heading2"/>
      </w:pPr>
      <w:r>
        <w:t xml:space="preserve">1. Visão Geral</w:t>
      </w:r>
    </w:p>
    <w:p>
      <w:pPr>
        <w:pStyle w:val="FirstParagraph"/>
      </w:pPr>
      <w:r>
        <w:t xml:space="preserve">A arquitetura busca garantir a interoperabilidade entre agentes inteligentes</w:t>
      </w:r>
      <w:r>
        <w:t xml:space="preserve"> </w:t>
      </w:r>
      <w:r>
        <w:t xml:space="preserve">que utilizam</w:t>
      </w:r>
      <w:r>
        <w:t xml:space="preserve"> </w:t>
      </w:r>
      <w:r>
        <w:rPr>
          <w:bCs/>
          <w:b/>
        </w:rPr>
        <w:t xml:space="preserve">vocabulários semânticos distintos</w:t>
      </w:r>
      <w:r>
        <w:t xml:space="preserve"> </w:t>
      </w:r>
      <w:r>
        <w:t xml:space="preserve">— agentes de venda falam</w:t>
      </w:r>
      <w:r>
        <w:t xml:space="preserve"> </w:t>
      </w:r>
      <w:r>
        <w:rPr>
          <w:bCs/>
          <w:b/>
        </w:rPr>
        <w:t xml:space="preserve">Schema.org</w:t>
      </w:r>
      <w:r>
        <w:t xml:space="preserve"> </w:t>
      </w:r>
      <w:r>
        <w:t xml:space="preserve">e agentes de logística falam</w:t>
      </w:r>
      <w:r>
        <w:t xml:space="preserve"> </w:t>
      </w:r>
      <w:r>
        <w:rPr>
          <w:bCs/>
          <w:b/>
        </w:rPr>
        <w:t xml:space="preserve">GoodRelations</w:t>
      </w:r>
      <w:r>
        <w:t xml:space="preserve"> </w:t>
      </w:r>
      <w:r>
        <w:t xml:space="preserve">— comunicando-se</w:t>
      </w:r>
      <w:r>
        <w:t xml:space="preserve"> </w:t>
      </w:r>
      <w:r>
        <w:t xml:space="preserve">por meio do protocolo</w:t>
      </w:r>
      <w:r>
        <w:t xml:space="preserve"> </w:t>
      </w:r>
      <w:r>
        <w:rPr>
          <w:bCs/>
          <w:b/>
        </w:rPr>
        <w:t xml:space="preserve">FIPA-ACL</w:t>
      </w:r>
      <w:r>
        <w:t xml:space="preserve"> </w:t>
      </w:r>
      <w:r>
        <w:t xml:space="preserve">com serialização</w:t>
      </w:r>
      <w:r>
        <w:t xml:space="preserve"> </w:t>
      </w:r>
      <w:r>
        <w:rPr>
          <w:bCs/>
          <w:b/>
        </w:rPr>
        <w:t xml:space="preserve">JSON-LD</w:t>
      </w:r>
      <w:r>
        <w:t xml:space="preserve">.</w:t>
      </w:r>
    </w:p>
    <w:p>
      <w:pPr>
        <w:pStyle w:val="BodyText"/>
      </w:pPr>
      <w:r>
        <w:t xml:space="preserve">O princípio central é a</w:t>
      </w:r>
      <w:r>
        <w:t xml:space="preserve"> </w:t>
      </w:r>
      <w:r>
        <w:rPr>
          <w:bCs/>
          <w:b/>
        </w:rPr>
        <w:t xml:space="preserve">separação de responsabilidades em camadas</w:t>
      </w:r>
      <w:r>
        <w:t xml:space="preserve">, onde a</w:t>
      </w:r>
      <w:r>
        <w:t xml:space="preserve"> </w:t>
      </w:r>
      <w:r>
        <w:t xml:space="preserve">camada de</w:t>
      </w:r>
      <w:r>
        <w:t xml:space="preserve"> </w:t>
      </w:r>
      <w:r>
        <w:rPr>
          <w:bCs/>
          <w:b/>
        </w:rPr>
        <w:t xml:space="preserve">Interoperabilidade</w:t>
      </w:r>
      <w:r>
        <w:t xml:space="preserve"> </w:t>
      </w:r>
      <w:r>
        <w:t xml:space="preserve">(camada 3) atua como ponto único de adaptação</w:t>
      </w:r>
      <w:r>
        <w:t xml:space="preserve"> </w:t>
      </w:r>
      <w:r>
        <w:t xml:space="preserve">de protocolo e mediação semântica, isolando os agentes de aplicação das</w:t>
      </w:r>
      <w:r>
        <w:t xml:space="preserve"> </w:t>
      </w:r>
      <w:r>
        <w:t xml:space="preserve">diferenças de vocabulário.</w:t>
      </w:r>
    </w:p>
    <w:bookmarkStart w:id="20" w:name="escopo-e-restrições-de-projeto"/>
    <w:p>
      <w:pPr>
        <w:pStyle w:val="Heading3"/>
      </w:pPr>
      <w:r>
        <w:t xml:space="preserve">Escopo e restrições de projeto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Vocabulários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Schema.org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Cs/>
                <w:b/>
              </w:rPr>
              <w:t xml:space="preserve">GoodRelations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 outro é utilizado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Protocolo de agentes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FIPA-ACL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MCP, A2A ou ACP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Serialização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JSON-LD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XML ou FIPA-SL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Protocolos de interação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Request, Query, Contract-Net, Subscribe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máquinas de estado</w:t>
            </w:r>
          </w:p>
        </w:tc>
      </w:tr>
    </w:tbl>
    <w:bookmarkEnd w:id="20"/>
    <w:bookmarkEnd w:id="21"/>
    <w:bookmarkStart w:id="22" w:name="diagrama-de-camadas"/>
    <w:p>
      <w:pPr>
        <w:pStyle w:val="Heading2"/>
      </w:pPr>
      <w:r>
        <w:t xml:space="preserve">2. Diagrama de Camadas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CAMADA 1 — APLICAÇÃO                                                 │</w:t>
      </w:r>
      <w:r>
        <w:br/>
      </w:r>
      <w:r>
        <w:rPr>
          <w:rStyle w:val="VerbatimChar"/>
        </w:rPr>
        <w:t xml:space="preserve">│  SalesAgent (Schema.org)            LogisticsAgent (GoodRelations)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│ FIPA-ACL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┌───────────────────────────────▼───────────────────────────────────────┐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CAMADA 2 — ORQUESTRAÇÃO                                              │</w:t>
      </w:r>
      <w:r>
        <w:br/>
      </w:r>
      <w:r>
        <w:rPr>
          <w:rStyle w:val="VerbatimChar"/>
        </w:rPr>
        <w:t xml:space="preserve">│  Orchestrator · ConversationManager · WorkflowCoordinator · LoadBalancer│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┌───────────────────────────────▼───────────────────────────────────────┐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CAMADA 3 — INTEROPERABILIDADE (CENTRAL)                             │</w:t>
      </w:r>
      <w:r>
        <w:br/>
      </w:r>
      <w:r>
        <w:rPr>
          <w:rStyle w:val="VerbatimChar"/>
        </w:rPr>
        <w:t xml:space="preserve">│  Protocol Adapter (FIPA-ACL)  +  Semantic Mediator (Schema⇄GR)       │</w:t>
      </w:r>
      <w:r>
        <w:br/>
      </w:r>
      <w:r>
        <w:rPr>
          <w:rStyle w:val="VerbatimChar"/>
        </w:rPr>
        <w:t xml:space="preserve">│  IdentityManager · ContextManager · AgentRegistry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┌───────────────────────────────▼───────────────────────────────────────┐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CAMADA 4 — COMUNICAÇÃO                                              │</w:t>
      </w:r>
      <w:r>
        <w:br/>
      </w:r>
      <w:r>
        <w:rPr>
          <w:rStyle w:val="VerbatimChar"/>
        </w:rPr>
        <w:t xml:space="preserve">│  MessageBus · JSONLDSerializer · FIPACommunicationAdapter · Connections│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┌───────────────────────────────▼───────────────────────────────────────┐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CAMADA 5 — INFRAESTRUTURA (transversal a todas as camadas)         │</w:t>
      </w:r>
      <w:r>
        <w:br/>
      </w:r>
      <w:r>
        <w:rPr>
          <w:rStyle w:val="VerbatimChar"/>
        </w:rPr>
        <w:t xml:space="preserve">│  LoggingService · ConfigService · MonitoringService · SecurityGateway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22"/>
    <w:bookmarkStart w:id="31" w:name="responsabilidades-por-camada"/>
    <w:p>
      <w:pPr>
        <w:pStyle w:val="Heading2"/>
      </w:pPr>
      <w:r>
        <w:t xml:space="preserve">3. Responsabilidades por Camada</w:t>
      </w:r>
    </w:p>
    <w:bookmarkStart w:id="23" w:name="Xfde5a998c0a640f2e02855e104adcf410844539"/>
    <w:p>
      <w:pPr>
        <w:pStyle w:val="Heading3"/>
      </w:pPr>
      <w:r>
        <w:t xml:space="preserve">Camada 1 — Aplicação (</w:t>
      </w:r>
      <w:r>
        <w:rPr>
          <w:rStyle w:val="VerbatimChar"/>
        </w:rPr>
        <w:t xml:space="preserve">src/layer_1_application/</w:t>
      </w:r>
      <w:r>
        <w:t xml:space="preserve">)</w:t>
      </w:r>
    </w:p>
    <w:p>
      <w:pPr>
        <w:pStyle w:val="FirstParagraph"/>
      </w:pPr>
      <w:r>
        <w:t xml:space="preserve">Agentes de domínio do marketplace.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Vocabulário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SalesAgent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Schema.org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Catálogo, ofertas e pedidos (</w:t>
            </w:r>
            <w:r>
              <w:rPr>
                <w:rStyle w:val="VerbatimChar"/>
              </w:rPr>
              <w:t xml:space="preserve">Product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Offer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PaymentChargeSpecification</w:t>
            </w:r>
            <w:r>
              <w:t xml:space="preserve">). Responde a</w:t>
            </w:r>
            <w:r>
              <w:t xml:space="preserve"> </w:t>
            </w:r>
            <w:r>
              <w:rPr>
                <w:rStyle w:val="VerbatimChar"/>
              </w:rPr>
              <w:t xml:space="preserve">query-if</w:t>
            </w:r>
            <w:r>
              <w:t xml:space="preserve">/</w:t>
            </w:r>
            <w:r>
              <w:rPr>
                <w:rStyle w:val="VerbatimChar"/>
              </w:rPr>
              <w:t xml:space="preserve">query-ref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cfp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request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LogisticsAgent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GoodRelations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 de frete e prazos (</w:t>
            </w:r>
            <w:r>
              <w:rPr>
                <w:rStyle w:val="VerbatimChar"/>
              </w:rPr>
              <w:t xml:space="preserve">BusinessEntity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ProductOrService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UnitPriceSpecification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DeliveryMethod</w:t>
            </w:r>
            <w:r>
              <w:t xml:space="preserve">).</w:t>
            </w:r>
          </w:p>
        </w:tc>
      </w:tr>
    </w:tbl>
    <w:p>
      <w:pPr>
        <w:pStyle w:val="BodyText"/>
      </w:pPr>
      <w:r>
        <w:t xml:space="preserve">Cada agente conhece</w:t>
      </w:r>
      <w:r>
        <w:t xml:space="preserve"> </w:t>
      </w:r>
      <w:r>
        <w:rPr>
          <w:bCs/>
          <w:b/>
        </w:rPr>
        <w:t xml:space="preserve">apenas o seu vocabulário</w:t>
      </w:r>
      <w:r>
        <w:t xml:space="preserve">; a tradução é delegada à</w:t>
      </w:r>
      <w:r>
        <w:t xml:space="preserve"> </w:t>
      </w:r>
      <w:r>
        <w:t xml:space="preserve">camada 3.</w:t>
      </w:r>
    </w:p>
    <w:bookmarkEnd w:id="23"/>
    <w:bookmarkStart w:id="24" w:name="X0bc90f375198bf7bed1fb23d1d00d72a7ae9e33"/>
    <w:p>
      <w:pPr>
        <w:pStyle w:val="Heading3"/>
      </w:pPr>
      <w:r>
        <w:t xml:space="preserve">Camada 2 — Orquestração (</w:t>
      </w:r>
      <w:r>
        <w:rPr>
          <w:rStyle w:val="VerbatimChar"/>
        </w:rPr>
        <w:t xml:space="preserve">src/layer_2_orchestration/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Roteamento inteligente,</w:t>
            </w:r>
            <w:r>
              <w:t xml:space="preserve"> </w:t>
            </w:r>
            <w:r>
              <w:rPr>
                <w:bCs/>
                <w:b/>
              </w:rPr>
              <w:t xml:space="preserve">fila de prioridade</w:t>
            </w:r>
            <w:r>
              <w:t xml:space="preserve"> </w:t>
            </w:r>
            <w:r>
              <w:t xml:space="preserve">por performativa, integração com segurança e gestão de conversas.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ConversationManager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Ciclo de vida das conversas (aberta, aguardando, concluída, expirada),</w:t>
            </w:r>
            <w:r>
              <w:t xml:space="preserve"> </w:t>
            </w:r>
            <w:r>
              <w:rPr>
                <w:iCs/>
                <w:i/>
              </w:rPr>
              <w:t xml:space="preserve">timeout</w:t>
            </w:r>
            <w:r>
              <w:t xml:space="preserve"> </w:t>
            </w:r>
            <w:r>
              <w:t xml:space="preserve">e histórico.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Fluxos multi-agente (ex.:</w:t>
            </w:r>
            <w:r>
              <w:t xml:space="preserve"> </w:t>
            </w:r>
            <w:r>
              <w:rPr>
                <w:rStyle w:val="VerbatimChar"/>
              </w:rPr>
              <w:t xml:space="preserve">purchase</w:t>
            </w:r>
            <w:r>
              <w:t xml:space="preserve"> </w:t>
            </w:r>
            <w:r>
              <w:t xml:space="preserve">= consulta → frete → fechamento).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LoadBalancer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Distribuição entre instâncias do mesmo papel (</w:t>
            </w:r>
            <w:r>
              <w:rPr>
                <w:bCs/>
                <w:b/>
              </w:rPr>
              <w:t xml:space="preserve">round-robin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least-loaded</w:t>
            </w:r>
            <w:r>
              <w:t xml:space="preserve">).</w:t>
            </w:r>
          </w:p>
        </w:tc>
      </w:tr>
    </w:tbl>
    <w:bookmarkEnd w:id="24"/>
    <w:bookmarkStart w:id="28" w:name="X7386063e100af4021c072350e1e46a45dfc0cea"/>
    <w:p>
      <w:pPr>
        <w:pStyle w:val="Heading3"/>
      </w:pPr>
      <w:r>
        <w:t xml:space="preserve">Camada 3 — Interoperabilidade (</w:t>
      </w:r>
      <w:r>
        <w:rPr>
          <w:rStyle w:val="VerbatimChar"/>
        </w:rPr>
        <w:t xml:space="preserve">src/layer_3_interoperability/</w:t>
      </w:r>
      <w:r>
        <w:t xml:space="preserve">) —</w:t>
      </w:r>
      <w:r>
        <w:t xml:space="preserve"> </w:t>
      </w:r>
      <w:r>
        <w:rPr>
          <w:bCs/>
          <w:b/>
        </w:rPr>
        <w:t xml:space="preserve">CENTRAL</w:t>
      </w:r>
    </w:p>
    <w:bookmarkStart w:id="25" w:name="protocol-adapter-protocol_adapter"/>
    <w:p>
      <w:pPr>
        <w:pStyle w:val="Heading4"/>
      </w:pPr>
      <w:r>
        <w:t xml:space="preserve">Protocol Adapter (</w:t>
      </w:r>
      <w:r>
        <w:rPr>
          <w:rStyle w:val="VerbatimChar"/>
        </w:rPr>
        <w:t xml:space="preserve">protocol_adapter/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FIPAACLAdapter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Ponto de entrada/saída. Integra parsing, validação, mapeamento de performativas, máquinas de estado e serialização.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e validação estrutural das mensagens FIPA-ACL (objeto ou JSON-LD).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PerformativeMapper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Mapeia performativas → atos comunicativos e valida respostas coerentes.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InteractionProtocolEngine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Máquinas de estado</w:t>
            </w:r>
            <w:r>
              <w:t xml:space="preserve"> </w:t>
            </w:r>
            <w:r>
              <w:t xml:space="preserve">dos protocolos:</w:t>
            </w:r>
            <w:r>
              <w:t xml:space="preserve"> </w:t>
            </w:r>
            <w:r>
              <w:rPr>
                <w:rStyle w:val="VerbatimChar"/>
              </w:rPr>
              <w:t xml:space="preserve">fipa-request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fipa-query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fipa-contract-net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fipa-subscribe</w:t>
            </w:r>
            <w:r>
              <w:t xml:space="preserve">.</w:t>
            </w:r>
          </w:p>
        </w:tc>
      </w:tr>
    </w:tbl>
    <w:bookmarkEnd w:id="25"/>
    <w:bookmarkStart w:id="26" w:name="semantic-mediator-semantic_mediator"/>
    <w:p>
      <w:pPr>
        <w:pStyle w:val="Heading4"/>
      </w:pPr>
      <w:r>
        <w:t xml:space="preserve">Semantic Mediator (</w:t>
      </w:r>
      <w:r>
        <w:rPr>
          <w:rStyle w:val="VerbatimChar"/>
        </w:rPr>
        <w:t xml:space="preserve">semantic_mediator/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SemanticMediator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Orquestra a tradução, detecta o vocabulário de origem e reporta overhead.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SchemaOrgManager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Construção/validação de entidades</w:t>
            </w:r>
            <w:r>
              <w:t xml:space="preserve"> </w:t>
            </w:r>
            <w:r>
              <w:rPr>
                <w:bCs/>
                <w:b/>
              </w:rPr>
              <w:t xml:space="preserve">Schema.org</w:t>
            </w:r>
            <w:r>
              <w:t xml:space="preserve"> </w:t>
            </w:r>
            <w:r>
              <w:t xml:space="preserve">(rdflib).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GoodRelationsManager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Construção/validação de entidades</w:t>
            </w:r>
            <w:r>
              <w:t xml:space="preserve"> </w:t>
            </w:r>
            <w:r>
              <w:rPr>
                <w:bCs/>
                <w:b/>
              </w:rPr>
              <w:t xml:space="preserve">GoodRelations</w:t>
            </w:r>
            <w:r>
              <w:t xml:space="preserve"> </w:t>
            </w:r>
            <w:r>
              <w:t xml:space="preserve">(rdflib).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OntologyMapper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Tradução bidirecional</w:t>
            </w:r>
            <w:r>
              <w:t xml:space="preserve"> </w:t>
            </w:r>
            <w:r>
              <w:t xml:space="preserve">Schema.org ⇄ GoodRelations, com</w:t>
            </w:r>
            <w:r>
              <w:t xml:space="preserve"> </w:t>
            </w:r>
            <w:r>
              <w:rPr>
                <w:bCs/>
                <w:b/>
              </w:rPr>
              <w:t xml:space="preserve">cache semântico configurável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Cs/>
                <w:b/>
              </w:rPr>
              <w:t xml:space="preserve">medição de overhead de tradução</w:t>
            </w:r>
            <w:r>
              <w:t xml:space="preserve">.</w:t>
            </w:r>
          </w:p>
        </w:tc>
      </w:tr>
    </w:tbl>
    <w:bookmarkEnd w:id="26"/>
    <w:bookmarkStart w:id="27" w:name="suporte"/>
    <w:p>
      <w:pPr>
        <w:pStyle w:val="Heading4"/>
      </w:pPr>
      <w:r>
        <w:t xml:space="preserve">Suporte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IdentityManager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Identidades de agentes (AID), credenciais e vocabulário declarado.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Contexto conversacional (vocabulários dos participantes, necessidade de tradução).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Diretório de agentes (descoberta por papel, serviço ou vocabulário).</w:t>
            </w:r>
          </w:p>
        </w:tc>
      </w:tr>
    </w:tbl>
    <w:bookmarkEnd w:id="27"/>
    <w:bookmarkEnd w:id="28"/>
    <w:bookmarkStart w:id="29" w:name="Xcae5c41a6409c1877757a35ba07318ee7d41b12"/>
    <w:p>
      <w:pPr>
        <w:pStyle w:val="Heading3"/>
      </w:pPr>
      <w:r>
        <w:t xml:space="preserve">Camada 4 — Comunicação (</w:t>
      </w:r>
      <w:r>
        <w:rPr>
          <w:rStyle w:val="VerbatimChar"/>
        </w:rPr>
        <w:t xml:space="preserve">src/layer_4_communication/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CommunicationMessageBus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Barramento de mensagens (publicação/assinatura por tópico).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JSONLDSerializer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Serialização/deserialização</w:t>
            </w:r>
            <w:r>
              <w:t xml:space="preserve"> </w:t>
            </w:r>
            <w:r>
              <w:rPr>
                <w:bCs/>
                <w:b/>
              </w:rPr>
              <w:t xml:space="preserve">JSON-LD</w:t>
            </w:r>
            <w:r>
              <w:t xml:space="preserve"> </w:t>
            </w:r>
            <w:r>
              <w:t xml:space="preserve">das mensagens FIPA-ACL.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FIPACommunicationAdapter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Transporte: conexão, envio e recepção com</w:t>
            </w:r>
            <w:r>
              <w:t xml:space="preserve"> </w:t>
            </w:r>
            <w:r>
              <w:rPr>
                <w:iCs/>
                <w:i/>
              </w:rPr>
              <w:t xml:space="preserve">round-trip</w:t>
            </w:r>
            <w:r>
              <w:t xml:space="preserve"> </w:t>
            </w:r>
            <w:r>
              <w:t xml:space="preserve">de serialização.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ConnectionManager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Gestão de conexões com limite máximo.</w:t>
            </w:r>
          </w:p>
        </w:tc>
      </w:tr>
    </w:tbl>
    <w:bookmarkEnd w:id="29"/>
    <w:bookmarkStart w:id="30" w:name="X8d09d850995b01d3376c7f4a60671cf4b48ef64"/>
    <w:p>
      <w:pPr>
        <w:pStyle w:val="Heading3"/>
      </w:pPr>
      <w:r>
        <w:t xml:space="preserve">Camada 5 — Infraestrutura (</w:t>
      </w:r>
      <w:r>
        <w:rPr>
          <w:rStyle w:val="VerbatimChar"/>
        </w:rPr>
        <w:t xml:space="preserve">src/layer_5_infrastructure/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LoggingService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Configuração e obtenção de</w:t>
            </w:r>
            <w:r>
              <w:t xml:space="preserve"> </w:t>
            </w:r>
            <w:r>
              <w:rPr>
                <w:iCs/>
                <w:i/>
              </w:rPr>
              <w:t xml:space="preserve">loggers</w:t>
            </w:r>
            <w:r>
              <w:t xml:space="preserve"> </w:t>
            </w:r>
            <w:r>
              <w:t xml:space="preserve">padronizados.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Carrega</w:t>
            </w:r>
            <w:r>
              <w:t xml:space="preserve"> </w:t>
            </w:r>
            <w:r>
              <w:rPr>
                <w:rStyle w:val="VerbatimChar"/>
              </w:rPr>
              <w:t xml:space="preserve">config/iiae_br_config.yaml</w:t>
            </w:r>
            <w:r>
              <w:t xml:space="preserve">, expõe acesso por camada e</w:t>
            </w:r>
            <w:r>
              <w:t xml:space="preserve"> </w:t>
            </w:r>
            <w:r>
              <w:rPr>
                <w:iCs/>
                <w:i/>
              </w:rPr>
              <w:t xml:space="preserve">feature flags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MonitoringService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 métricas e</w:t>
            </w:r>
            <w:r>
              <w:t xml:space="preserve"> </w:t>
            </w:r>
            <w:r>
              <w:rPr>
                <w:bCs/>
                <w:b/>
              </w:rPr>
              <w:t xml:space="preserve">overhead por camada</w:t>
            </w:r>
            <w:r>
              <w:t xml:space="preserve">;</w:t>
            </w:r>
            <w:r>
              <w:t xml:space="preserve"> </w:t>
            </w:r>
            <w:r>
              <w:rPr>
                <w:iCs/>
                <w:i/>
              </w:rPr>
              <w:t xml:space="preserve">health checks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Autorização básica e validação de mensagens.</w:t>
            </w:r>
          </w:p>
        </w:tc>
      </w:tr>
    </w:tbl>
    <w:bookmarkEnd w:id="30"/>
    <w:bookmarkEnd w:id="31"/>
    <w:bookmarkStart w:id="33" w:name="X410ab70639fd49e6b3de5e524bfa3f779b634f5"/>
    <w:p>
      <w:pPr>
        <w:pStyle w:val="Heading2"/>
      </w:pPr>
      <w:r>
        <w:t xml:space="preserve">4. Mapeamento Semântico Schema.org ⇄ GoodRelations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OntologyMapper</w:t>
      </w:r>
      <w:r>
        <w:t xml:space="preserve"> </w:t>
      </w:r>
      <w:r>
        <w:t xml:space="preserve">realiza a tradução bidirecional dos principais tipos e</w:t>
      </w:r>
      <w:r>
        <w:t xml:space="preserve"> </w:t>
      </w:r>
      <w:r>
        <w:t xml:space="preserve">propriedades do e-commerce: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Schema.org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GoodRelations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ProductOrService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PaymentChargeSpecification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UnitPriceSpecification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Organization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BusinessEntity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sku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productID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hasStockKeepingUnit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hasCurrencyValue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priceCurrency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hasCurrency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hasInventoryLevel</w:t>
            </w:r>
          </w:p>
        </w:tc>
      </w:tr>
    </w:tbl>
    <w:bookmarkStart w:id="32" w:name="cache-semântico-e-overhead-de-tradução"/>
    <w:p>
      <w:pPr>
        <w:pStyle w:val="Heading3"/>
      </w:pPr>
      <w:r>
        <w:t xml:space="preserve">Cache semântico e overhead de tradução</w:t>
      </w:r>
    </w:p>
    <w:p>
      <w:pPr>
        <w:numPr>
          <w:ilvl w:val="0"/>
          <w:numId w:val="1001"/>
        </w:numPr>
        <w:pStyle w:val="Compact"/>
      </w:pPr>
      <w:r>
        <w:t xml:space="preserve">O cache pode operar em</w:t>
      </w:r>
      <w:r>
        <w:t xml:space="preserve"> </w:t>
      </w:r>
      <w:r>
        <w:rPr>
          <w:bCs/>
          <w:b/>
        </w:rPr>
        <w:t xml:space="preserve">modo realista</w:t>
      </w:r>
      <w:r>
        <w:t xml:space="preserve"> </w:t>
      </w:r>
      <w:r>
        <w:t xml:space="preserve">(acerto se a chave já existe) ou em</w:t>
      </w:r>
      <w:r>
        <w:t xml:space="preserve"> </w:t>
      </w:r>
      <w:r>
        <w:rPr>
          <w:bCs/>
          <w:b/>
        </w:rPr>
        <w:t xml:space="preserve">modo experimento</w:t>
      </w:r>
      <w:r>
        <w:t xml:space="preserve"> </w:t>
      </w:r>
      <w:r>
        <w:t xml:space="preserve">(</w:t>
      </w:r>
      <w:r>
        <w:rPr>
          <w:rStyle w:val="VerbatimChar"/>
        </w:rPr>
        <w:t xml:space="preserve">forced_hit_rate</w:t>
      </w:r>
      <w:r>
        <w:t xml:space="preserve">), que reproduz proporções exatas de</w:t>
      </w:r>
      <w:r>
        <w:t xml:space="preserve"> </w:t>
      </w:r>
      <w:r>
        <w:t xml:space="preserve">acerto — usado nos cenários de cache</w:t>
      </w:r>
      <w:r>
        <w:t xml:space="preserve"> </w:t>
      </w:r>
      <w:r>
        <w:rPr>
          <w:bCs/>
          <w:b/>
        </w:rPr>
        <w:t xml:space="preserve">0%, 50%, 60%, 80% e 95%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Cada tradução tem seu</w:t>
      </w:r>
      <w:r>
        <w:t xml:space="preserve"> </w:t>
      </w:r>
      <w:r>
        <w:rPr>
          <w:bCs/>
          <w:b/>
        </w:rPr>
        <w:t xml:space="preserve">tempo medido</w:t>
      </w:r>
      <w:r>
        <w:t xml:space="preserve">: um</w:t>
      </w:r>
      <w:r>
        <w:t xml:space="preserve"> </w:t>
      </w:r>
      <w:r>
        <w:rPr>
          <w:iCs/>
          <w:i/>
        </w:rPr>
        <w:t xml:space="preserve">cache hit</w:t>
      </w:r>
      <w:r>
        <w:t xml:space="preserve"> </w:t>
      </w:r>
      <w:r>
        <w:t xml:space="preserve">tem custo desprezível</w:t>
      </w:r>
      <w:r>
        <w:t xml:space="preserve"> </w:t>
      </w:r>
      <w:r>
        <w:t xml:space="preserve">(~0,03 ms), enquanto um</w:t>
      </w:r>
      <w:r>
        <w:t xml:space="preserve"> </w:t>
      </w:r>
      <w:r>
        <w:rPr>
          <w:iCs/>
          <w:i/>
        </w:rPr>
        <w:t xml:space="preserve">cache miss</w:t>
      </w:r>
      <w:r>
        <w:t xml:space="preserve"> </w:t>
      </w:r>
      <w:r>
        <w:t xml:space="preserve">incorre no custo da tradução efetiva</w:t>
      </w:r>
      <w:r>
        <w:t xml:space="preserve"> </w:t>
      </w:r>
      <w:r>
        <w:t xml:space="preserve">(~1,8 ms). O overhead acumulado é exposto para análise.</w:t>
      </w:r>
    </w:p>
    <w:bookmarkEnd w:id="32"/>
    <w:bookmarkEnd w:id="33"/>
    <w:bookmarkStart w:id="34" w:name="X3e5fa8cbd4d6372afd5f813fc991664fffa98db"/>
    <w:p>
      <w:pPr>
        <w:pStyle w:val="Heading2"/>
      </w:pPr>
      <w:r>
        <w:t xml:space="preserve">5. Fluxo de Mensagem (exemplo: cotação de frete)</w:t>
      </w:r>
    </w:p>
    <w:p>
      <w:pPr>
        <w:pStyle w:val="SourceCode"/>
      </w:pPr>
      <w:r>
        <w:rPr>
          <w:rStyle w:val="VerbatimChar"/>
        </w:rPr>
        <w:t xml:space="preserve">1. SalesAgent (Schema.org) cria um Product e solicita frete.</w:t>
      </w:r>
      <w:r>
        <w:br/>
      </w:r>
      <w:r>
        <w:rPr>
          <w:rStyle w:val="VerbatimChar"/>
        </w:rPr>
        <w:t xml:space="preserve">        │  ACLMessage(REQUEST, protocol=fipa-request)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2. CAMADA 4: serializa a mensagem em JSON-LD e transporta pelo barramento.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3. CAMADA 3 / Protocol Adapter:</w:t>
      </w:r>
      <w:r>
        <w:br/>
      </w:r>
      <w:r>
        <w:rPr>
          <w:rStyle w:val="VerbatimChar"/>
        </w:rPr>
        <w:t xml:space="preserve">        • MessageParser valida a estrutura;</w:t>
      </w:r>
      <w:r>
        <w:br/>
      </w:r>
      <w:r>
        <w:rPr>
          <w:rStyle w:val="VerbatimChar"/>
        </w:rPr>
        <w:t xml:space="preserve">        • PerformativeMapper classifica o ato (DIRECTIVE);</w:t>
      </w:r>
      <w:r>
        <w:br/>
      </w:r>
      <w:r>
        <w:rPr>
          <w:rStyle w:val="VerbatimChar"/>
        </w:rPr>
        <w:t xml:space="preserve">        • InteractionProtocolEngine: INITIATED → PENDING.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4. CAMADA 3 / Semantic Mediator:</w:t>
      </w:r>
      <w:r>
        <w:br/>
      </w:r>
      <w:r>
        <w:rPr>
          <w:rStyle w:val="VerbatimChar"/>
        </w:rPr>
        <w:t xml:space="preserve">        • detecta que o destino (logística) fala GoodRelations;</w:t>
      </w:r>
      <w:r>
        <w:br/>
      </w:r>
      <w:r>
        <w:rPr>
          <w:rStyle w:val="VerbatimChar"/>
        </w:rPr>
        <w:t xml:space="preserve">        • traduz Product (Schema.org) → ProductOrService (GoodRelations);</w:t>
      </w:r>
      <w:r>
        <w:br/>
      </w:r>
      <w:r>
        <w:rPr>
          <w:rStyle w:val="VerbatimChar"/>
        </w:rPr>
        <w:t xml:space="preserve">        • mede o overhead de tradução (depende do cache).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5. CAMADA 2 / Orchestrator:</w:t>
      </w:r>
      <w:r>
        <w:br/>
      </w:r>
      <w:r>
        <w:rPr>
          <w:rStyle w:val="VerbatimChar"/>
        </w:rPr>
        <w:t xml:space="preserve">        • resolve o papel "logistics" no AgentRegistry;</w:t>
      </w:r>
      <w:r>
        <w:br/>
      </w:r>
      <w:r>
        <w:rPr>
          <w:rStyle w:val="VerbatimChar"/>
        </w:rPr>
        <w:t xml:space="preserve">        • LoadBalancer (round-robin) escolhe a instância;</w:t>
      </w:r>
      <w:r>
        <w:br/>
      </w:r>
      <w:r>
        <w:rPr>
          <w:rStyle w:val="VerbatimChar"/>
        </w:rPr>
        <w:t xml:space="preserve">        • registra a conversa no ConversationManager.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6. CAMADA 1: LogisticsAgent calcula o frete e responde com</w:t>
      </w:r>
      <w:r>
        <w:br/>
      </w:r>
      <w:r>
        <w:rPr>
          <w:rStyle w:val="VerbatimChar"/>
        </w:rPr>
        <w:t xml:space="preserve">        UnitPriceSpecification (GoodRelations) via INFORM.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7. O caminho inverso traduz UnitPriceSpecification → PaymentChargeSpecification</w:t>
      </w:r>
      <w:r>
        <w:br/>
      </w:r>
      <w:r>
        <w:rPr>
          <w:rStyle w:val="VerbatimChar"/>
        </w:rPr>
        <w:t xml:space="preserve">   (Schema.org) antes de entregar a resposta ao SalesAgent.</w:t>
      </w:r>
      <w:r>
        <w:br/>
      </w:r>
      <w:r>
        <w:br/>
      </w:r>
      <w:r>
        <w:rPr>
          <w:rStyle w:val="VerbatimChar"/>
        </w:rPr>
        <w:t xml:space="preserve">Em todas as etapas, a CAMADA 5 registra logs, métricas e overhead por camada.</w:t>
      </w:r>
    </w:p>
    <w:bookmarkEnd w:id="34"/>
    <w:bookmarkStart w:id="35" w:name="medição-de-overhead-por-camada"/>
    <w:p>
      <w:pPr>
        <w:pStyle w:val="Heading2"/>
      </w:pPr>
      <w:r>
        <w:t xml:space="preserve">6. Medição de Overhead por Camada</w:t>
      </w:r>
    </w:p>
    <w:p>
      <w:pPr>
        <w:pStyle w:val="FirstParagraph"/>
      </w:pPr>
      <w:r>
        <w:t xml:space="preserve">A integração com a simulação Monte Carlo adiciona, a cada transação, o custo de</w:t>
      </w:r>
      <w:r>
        <w:t xml:space="preserve"> </w:t>
      </w:r>
      <w:r>
        <w:t xml:space="preserve">processamento de cada camada (</w:t>
      </w:r>
      <w:r>
        <w:rPr>
          <w:rStyle w:val="VerbatimChar"/>
        </w:rPr>
        <w:t xml:space="preserve">src/simulation/layer_overhead.py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Custo-base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— Aplicação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lógica de negócio já modelada nos agentes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— Orquestração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roteamento + balanceamento + conversa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— Interoperabilidade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~0,40 + tradução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varia com o cache semântico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— Comunicação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serialização JSON-LD + transporte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— Infraestrutura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logging + monitoramento + segurança</w:t>
            </w:r>
          </w:p>
        </w:tc>
      </w:tr>
    </w:tbl>
    <w:p>
      <w:pPr>
        <w:pStyle w:val="BodyText"/>
      </w:pPr>
      <w:r>
        <w:t xml:space="preserve">O overhead da camada 3 cai à medida que a taxa de acerto do cache aumenta</w:t>
      </w:r>
      <w:r>
        <w:t xml:space="preserve"> </w:t>
      </w:r>
      <w:r>
        <w:t xml:space="preserve">(ex.: ~2,2 ms a 0% → ~0,5 ms a 95%), evidenciando o impacto da mediação</w:t>
      </w:r>
      <w:r>
        <w:t xml:space="preserve"> </w:t>
      </w:r>
      <w:r>
        <w:t xml:space="preserve">semântica no desempenho. Os resultados são exportados em CSV/JSON, no relatório</w:t>
      </w:r>
      <w:r>
        <w:t xml:space="preserve"> </w:t>
      </w:r>
      <w:r>
        <w:t xml:space="preserve">textual (seção 6) e no gráfico</w:t>
      </w:r>
      <w:r>
        <w:t xml:space="preserve"> </w:t>
      </w:r>
      <w:r>
        <w:rPr>
          <w:rStyle w:val="VerbatimChar"/>
        </w:rPr>
        <w:t xml:space="preserve">overhead_por_camada.png</w:t>
      </w:r>
      <w:r>
        <w:t xml:space="preserve">.</w:t>
      </w:r>
    </w:p>
    <w:bookmarkEnd w:id="35"/>
    <w:bookmarkStart w:id="36" w:name="configuração-configiiae_br_config.yaml"/>
    <w:p>
      <w:pPr>
        <w:pStyle w:val="Heading2"/>
      </w:pPr>
      <w:r>
        <w:t xml:space="preserve">7. Configuração (</w:t>
      </w:r>
      <w:r>
        <w:rPr>
          <w:rStyle w:val="VerbatimChar"/>
        </w:rPr>
        <w:t xml:space="preserve">config/iiae_br_config.yaml</w:t>
      </w:r>
      <w:r>
        <w:t xml:space="preserve">)</w:t>
      </w:r>
    </w:p>
    <w:p>
      <w:pPr>
        <w:pStyle w:val="FirstParagraph"/>
      </w:pPr>
      <w:r>
        <w:t xml:space="preserve">O arquivo declara as 5 camadas e os parâmetros de cada componente</w:t>
      </w:r>
      <w:r>
        <w:t xml:space="preserve"> </w:t>
      </w:r>
      <w:r>
        <w:t xml:space="preserve">(ontologias dos agentes, tamanho de fila/timeout da orquestração, protocolos e</w:t>
      </w:r>
      <w:r>
        <w:t xml:space="preserve"> </w:t>
      </w:r>
      <w:r>
        <w:t xml:space="preserve">serialização da interoperabilidade, cache do mediador semântico, barramento de</w:t>
      </w:r>
      <w:r>
        <w:t xml:space="preserve"> </w:t>
      </w:r>
      <w:r>
        <w:t xml:space="preserve">comunicação e serviços de infraestrutura). É carregado pelo</w:t>
      </w:r>
      <w:r>
        <w:t xml:space="preserve"> </w:t>
      </w:r>
      <w:r>
        <w:rPr>
          <w:rStyle w:val="VerbatimChar"/>
        </w:rPr>
        <w:t xml:space="preserve">ConfigService</w:t>
      </w:r>
      <w:r>
        <w:t xml:space="preserve">.</w:t>
      </w:r>
    </w:p>
    <w:bookmarkEnd w:id="36"/>
    <w:bookmarkStart w:id="37" w:name="testes"/>
    <w:p>
      <w:pPr>
        <w:pStyle w:val="Heading2"/>
      </w:pPr>
      <w:r>
        <w:t xml:space="preserve">8. Testes</w:t>
      </w:r>
    </w:p>
    <w:p>
      <w:pPr>
        <w:pStyle w:val="FirstParagraph"/>
      </w:pPr>
      <w:r>
        <w:t xml:space="preserve">Os testes em</w:t>
      </w:r>
      <w:r>
        <w:t xml:space="preserve"> </w:t>
      </w:r>
      <w:r>
        <w:rPr>
          <w:rStyle w:val="VerbatimChar"/>
        </w:rPr>
        <w:t xml:space="preserve">tests/test_layers.py</w:t>
      </w:r>
      <w:r>
        <w:t xml:space="preserve"> </w:t>
      </w:r>
      <w:r>
        <w:t xml:space="preserve">cobrem: round-trip JSON-LD, máquinas de</w:t>
      </w:r>
      <w:r>
        <w:t xml:space="preserve"> </w:t>
      </w:r>
      <w:r>
        <w:t xml:space="preserve">estado dos protocolos FIPA-ACL, tradução semântica bidirecional, cache</w:t>
      </w:r>
      <w:r>
        <w:t xml:space="preserve"> </w:t>
      </w:r>
      <w:r>
        <w:t xml:space="preserve">configurável, roteamento/prioridade da orquestração, agentes de aplicação,</w:t>
      </w:r>
      <w:r>
        <w:t xml:space="preserve"> </w:t>
      </w:r>
      <w:r>
        <w:t xml:space="preserve">serviços de infraestrutura e a medição de overhead por camada na simulação.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 </w:t>
      </w:r>
      <w:r>
        <w:rPr>
          <w:rStyle w:val="AttributeTok"/>
        </w:rPr>
        <w:t xml:space="preserve">-v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2026-05-30T18:52:39Z</dcterms:created>
  <dcterms:modified xsi:type="dcterms:W3CDTF">2026-05-30T18:52:39Z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